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627C" w14:textId="77777777" w:rsidR="00120ED2" w:rsidRPr="001861DD" w:rsidRDefault="0062413C">
      <w:pPr>
        <w:pStyle w:val="Title"/>
        <w:rPr>
          <w:sz w:val="40"/>
          <w:szCs w:val="40"/>
          <w:lang w:val="fr-FR"/>
        </w:rPr>
      </w:pPr>
      <w:r w:rsidRPr="001861DD">
        <w:rPr>
          <w:sz w:val="40"/>
          <w:szCs w:val="40"/>
          <w:lang w:val="fr-FR"/>
        </w:rPr>
        <w:t>Utilité du conseil génétique dans les affections rythmiques</w:t>
      </w:r>
    </w:p>
    <w:p w14:paraId="7877F1F4" w14:textId="77777777" w:rsidR="00120ED2" w:rsidRPr="001861DD" w:rsidRDefault="0062413C">
      <w:pPr>
        <w:pStyle w:val="Corps"/>
        <w:rPr>
          <w:lang w:val="fr-FR"/>
        </w:rPr>
      </w:pPr>
      <w:r w:rsidRPr="001861DD">
        <w:rPr>
          <w:lang w:val="fr-FR"/>
        </w:rPr>
        <w:t>Antoine Bondue</w:t>
      </w:r>
    </w:p>
    <w:p w14:paraId="2C8A25B6" w14:textId="77777777" w:rsidR="00120ED2" w:rsidRPr="001861DD" w:rsidRDefault="00120ED2">
      <w:pPr>
        <w:pStyle w:val="Corps"/>
        <w:rPr>
          <w:lang w:val="fr-FR"/>
        </w:rPr>
      </w:pPr>
    </w:p>
    <w:p w14:paraId="4AD58B90" w14:textId="77777777" w:rsidR="00120ED2" w:rsidRPr="001861DD" w:rsidRDefault="0062413C">
      <w:pPr>
        <w:pStyle w:val="Subtitle"/>
        <w:rPr>
          <w:lang w:val="fr-FR"/>
        </w:rPr>
      </w:pPr>
      <w:r w:rsidRPr="001861DD">
        <w:rPr>
          <w:lang w:val="fr-FR"/>
        </w:rPr>
        <w:t>Le conseil génétique: définition</w:t>
      </w:r>
    </w:p>
    <w:p w14:paraId="7D57E1FC" w14:textId="7507EC3D" w:rsidR="00120ED2" w:rsidRPr="001861DD" w:rsidRDefault="0062413C">
      <w:pPr>
        <w:pStyle w:val="Corps"/>
        <w:rPr>
          <w:lang w:val="fr-FR"/>
        </w:rPr>
      </w:pPr>
      <w:r w:rsidRPr="001861DD">
        <w:rPr>
          <w:lang w:val="fr-FR"/>
        </w:rPr>
        <w:t>Le conseil génétique est un processus par lequel un patient souffrant d’une maladie potentiellement héréditaire bénéficie d’une information concernant cette maladie, dont</w:t>
      </w:r>
      <w:r w:rsidR="00AE4B77">
        <w:rPr>
          <w:lang w:val="fr-FR"/>
        </w:rPr>
        <w:t xml:space="preserve"> sa nature, les mécanismes sous-</w:t>
      </w:r>
      <w:r w:rsidRPr="001861DD">
        <w:rPr>
          <w:lang w:val="fr-FR"/>
        </w:rPr>
        <w:t xml:space="preserve">jacents et les déterminants identifiables. En particulier, les conséquences du diagnostic pour le patient et ses proches y sont abordées, dont les modalités de transmission du risque, ainsi que les moyens potentiellement disponibles pour contrôler ce risque. Par définition, cette activité part donc du patient lui-même, puis s’étend secondairement aux membres de la famille. C’est à travers cette dimension familiale que la génétique opère, tant pour obtenir un diagnostic que pour mesurer l’impact du résultat obtenu. </w:t>
      </w:r>
    </w:p>
    <w:p w14:paraId="2F85761C" w14:textId="77777777" w:rsidR="00120ED2" w:rsidRPr="001861DD" w:rsidRDefault="00120ED2">
      <w:pPr>
        <w:pStyle w:val="Corps"/>
        <w:rPr>
          <w:lang w:val="fr-FR"/>
        </w:rPr>
      </w:pPr>
    </w:p>
    <w:p w14:paraId="2E10E9DD" w14:textId="09967CB2" w:rsidR="00120ED2" w:rsidRPr="001861DD" w:rsidRDefault="0062413C">
      <w:pPr>
        <w:pStyle w:val="Corps"/>
        <w:rPr>
          <w:lang w:val="fr-FR"/>
        </w:rPr>
      </w:pPr>
      <w:r w:rsidRPr="001861DD">
        <w:rPr>
          <w:lang w:val="fr-FR"/>
        </w:rPr>
        <w:t xml:space="preserve">Le conseil génétique est structuré dans une activité de consultation spécialisée, réalisée en Belgique par des médecins spécialistes en génétique clinique, ou spécialistes dans une autre discipline ayant une reconnaissance en génétique clinique. La complexité des observations tant cliniques que moléculaires fait que le processus complet menant au diagnostic génétique sera le fruit d’une interaction étroite entre les cardiologues (dont les </w:t>
      </w:r>
      <w:proofErr w:type="spellStart"/>
      <w:r w:rsidRPr="001861DD">
        <w:rPr>
          <w:lang w:val="fr-FR"/>
        </w:rPr>
        <w:t>cardiopédiatres</w:t>
      </w:r>
      <w:proofErr w:type="spellEnd"/>
      <w:r w:rsidRPr="001861DD">
        <w:rPr>
          <w:lang w:val="fr-FR"/>
        </w:rPr>
        <w:t>), les génétic</w:t>
      </w:r>
      <w:r w:rsidR="00AE4B77">
        <w:rPr>
          <w:lang w:val="fr-FR"/>
        </w:rPr>
        <w:t xml:space="preserve">iens cliniques (dont les </w:t>
      </w:r>
      <w:proofErr w:type="spellStart"/>
      <w:r w:rsidR="00AE4B77">
        <w:rPr>
          <w:lang w:val="fr-FR"/>
        </w:rPr>
        <w:t>cardio</w:t>
      </w:r>
      <w:r w:rsidRPr="001861DD">
        <w:rPr>
          <w:lang w:val="fr-FR"/>
        </w:rPr>
        <w:t>généticiens</w:t>
      </w:r>
      <w:proofErr w:type="spellEnd"/>
      <w:r w:rsidRPr="001861DD">
        <w:rPr>
          <w:lang w:val="fr-FR"/>
        </w:rPr>
        <w:t xml:space="preserve">), le laboratoire (dont les techniciens, le personnel scientifique et les </w:t>
      </w:r>
      <w:proofErr w:type="spellStart"/>
      <w:r w:rsidRPr="001861DD">
        <w:rPr>
          <w:lang w:val="fr-FR"/>
        </w:rPr>
        <w:t>bioinformaticiens</w:t>
      </w:r>
      <w:proofErr w:type="spellEnd"/>
      <w:r w:rsidRPr="001861DD">
        <w:rPr>
          <w:lang w:val="fr-FR"/>
        </w:rPr>
        <w:t xml:space="preserve">). C’est la combinaison de données cliniques précises et moléculaires qui permettra d’identifier les déterminants génétiques </w:t>
      </w:r>
      <w:proofErr w:type="spellStart"/>
      <w:r w:rsidRPr="001861DD">
        <w:rPr>
          <w:lang w:val="fr-FR"/>
        </w:rPr>
        <w:t>relevants</w:t>
      </w:r>
      <w:proofErr w:type="spellEnd"/>
      <w:r w:rsidRPr="001861DD">
        <w:rPr>
          <w:lang w:val="fr-FR"/>
        </w:rPr>
        <w:t xml:space="preserve"> pour une pathologie donnée.</w:t>
      </w:r>
    </w:p>
    <w:p w14:paraId="59E88705" w14:textId="77777777" w:rsidR="00120ED2" w:rsidRPr="001861DD" w:rsidRDefault="00120ED2">
      <w:pPr>
        <w:pStyle w:val="Corps"/>
        <w:rPr>
          <w:lang w:val="fr-FR"/>
        </w:rPr>
      </w:pPr>
    </w:p>
    <w:p w14:paraId="4890AC73" w14:textId="18AEF28D" w:rsidR="00120ED2" w:rsidRPr="001861DD" w:rsidRDefault="0062413C">
      <w:pPr>
        <w:pStyle w:val="Corps"/>
        <w:rPr>
          <w:lang w:val="fr-FR"/>
        </w:rPr>
      </w:pPr>
      <w:r w:rsidRPr="001861DD">
        <w:rPr>
          <w:lang w:val="fr-FR"/>
        </w:rPr>
        <w:t>D’un</w:t>
      </w:r>
      <w:r>
        <w:rPr>
          <w:lang w:val="fr-FR"/>
        </w:rPr>
        <w:t>e</w:t>
      </w:r>
      <w:r w:rsidRPr="001861DD">
        <w:rPr>
          <w:lang w:val="fr-FR"/>
        </w:rPr>
        <w:t xml:space="preserve"> manière générale, le conseil génétique est une démarche qui prend du temps. Il est initié par une consultation collectant les informations cliniques sur le patient et sa famille, et expliquant au patient (et ses proches) les implications d’un résultat potentiel. S’en suivent des analyses moléculaires, parfois longues et complexes, dont les résultats devront être validés pour en déterminer la relevance clinique: par interrogation de la littérature, par confrontation aux bases de données ou par une étude de ségrégation au sein de la famille. C’est avec ce résultat que l’on retourne vers le patient et sa famille. La pertinence de cette démarche lourde et onéreuse (pour la société) sera donc d’autant plus importante que l’affection considérée est sévère et dangereuse. C’est en effet la sévérité du tableau clinique qui donne du sens à la stratification du risque pour les proches. Pour cette raison, le conseil génétique joue un rôle grandissant dans la prise en charge des affections rythmiques, pour lesquelles il existe pour certaines un risque de mort subite. Parallèlement à l’évolution des techniques, à la diminution des coûts et à l’amélioration des connaissances, une place de plus en plus importante est dévolue au conseil génétique dans les recommandations pour la prise en charge de diverses affections rythmiques,  dont les maladies des canaux ioniques et les cardiomyopathies</w:t>
      </w:r>
      <w:r w:rsidR="001933D8">
        <w:rPr>
          <w:lang w:val="fr-FR"/>
        </w:rPr>
        <w:t>.</w:t>
      </w:r>
      <w:r w:rsidR="000F6795" w:rsidRPr="00F87772">
        <w:rPr>
          <w:vertAlign w:val="superscript"/>
          <w:lang w:val="fr-FR"/>
        </w:rPr>
        <w:t>1-</w:t>
      </w:r>
      <w:r w:rsidR="000F6795" w:rsidRPr="000F6795">
        <w:rPr>
          <w:vertAlign w:val="superscript"/>
          <w:lang w:val="fr-FR"/>
        </w:rPr>
        <w:t>4</w:t>
      </w:r>
    </w:p>
    <w:p w14:paraId="71348540" w14:textId="77777777" w:rsidR="00120ED2" w:rsidRPr="001861DD" w:rsidRDefault="00120ED2">
      <w:pPr>
        <w:pStyle w:val="Pardfaut"/>
        <w:rPr>
          <w:lang w:val="fr-FR"/>
        </w:rPr>
      </w:pPr>
    </w:p>
    <w:p w14:paraId="06E8E16A" w14:textId="77777777" w:rsidR="00120ED2" w:rsidRPr="001861DD" w:rsidRDefault="0062413C">
      <w:pPr>
        <w:pStyle w:val="Subtitle"/>
        <w:rPr>
          <w:lang w:val="fr-FR"/>
        </w:rPr>
      </w:pPr>
      <w:r w:rsidRPr="001861DD">
        <w:rPr>
          <w:lang w:val="fr-FR"/>
        </w:rPr>
        <w:t>Maladies génétiques en rythmologie</w:t>
      </w:r>
    </w:p>
    <w:p w14:paraId="2F1C480C" w14:textId="7DF8DA6F" w:rsidR="00120ED2" w:rsidRPr="001861DD" w:rsidRDefault="0062413C">
      <w:pPr>
        <w:pStyle w:val="Corps"/>
        <w:rPr>
          <w:lang w:val="fr-FR"/>
        </w:rPr>
      </w:pPr>
      <w:r w:rsidRPr="001861DD">
        <w:rPr>
          <w:lang w:val="fr-FR"/>
        </w:rPr>
        <w:t>Des déterminants génétiques existent pour de nombreuses affections cardiovasculaires, dont les affections rythmiques. Ces déterminants peuvent apporter tant une protection qu’un risque par rapport à une affection donnée. A l’échelle de l’individu, c’est l’intégration de ces déterminants qui définira le risque intrinsèque de développer (ou pas) une maladie donnée. Considérant qu’il existe dans notre génome une variabilité normale (qui fait que les individus sont tous différents et qui a dans un certain sens permis l’évolution), on distingue en génétique un spectre de variants classifiés selon leur fréquence et leur poids pour influencer un phénotype donné.</w:t>
      </w:r>
      <w:r w:rsidR="000F6795">
        <w:rPr>
          <w:vertAlign w:val="superscript"/>
          <w:lang w:val="fr-FR"/>
        </w:rPr>
        <w:t>5</w:t>
      </w:r>
      <w:proofErr w:type="gramStart"/>
      <w:r w:rsidR="001933D8">
        <w:rPr>
          <w:vertAlign w:val="superscript"/>
          <w:lang w:val="fr-FR"/>
        </w:rPr>
        <w:t>,6</w:t>
      </w:r>
      <w:proofErr w:type="gramEnd"/>
      <w:r w:rsidRPr="001861DD">
        <w:rPr>
          <w:lang w:val="fr-FR"/>
        </w:rPr>
        <w:t xml:space="preserve"> </w:t>
      </w:r>
    </w:p>
    <w:p w14:paraId="6B04B219" w14:textId="77777777" w:rsidR="00120ED2" w:rsidRPr="001861DD" w:rsidRDefault="00120ED2">
      <w:pPr>
        <w:pStyle w:val="Corps"/>
        <w:rPr>
          <w:lang w:val="fr-FR"/>
        </w:rPr>
      </w:pPr>
    </w:p>
    <w:p w14:paraId="2E315CB3" w14:textId="0FB39B11" w:rsidR="00120ED2" w:rsidRPr="001861DD" w:rsidRDefault="0062413C">
      <w:pPr>
        <w:pStyle w:val="Corps"/>
        <w:rPr>
          <w:lang w:val="fr-FR"/>
        </w:rPr>
      </w:pPr>
      <w:r w:rsidRPr="001861DD">
        <w:rPr>
          <w:lang w:val="fr-FR"/>
        </w:rPr>
        <w:t>On distingue ainsi en génétique deux types de déterminants : les variants rares et fréquents (Figure</w:t>
      </w:r>
      <w:r w:rsidR="00941D88">
        <w:rPr>
          <w:lang w:val="fr-FR"/>
        </w:rPr>
        <w:t xml:space="preserve"> 1</w:t>
      </w:r>
      <w:r w:rsidRPr="001861DD">
        <w:rPr>
          <w:lang w:val="fr-FR"/>
        </w:rPr>
        <w:t xml:space="preserve">). </w:t>
      </w:r>
    </w:p>
    <w:p w14:paraId="36BDFCFE" w14:textId="77777777" w:rsidR="00120ED2" w:rsidRPr="001861DD" w:rsidRDefault="00120ED2">
      <w:pPr>
        <w:pStyle w:val="Corps"/>
        <w:rPr>
          <w:lang w:val="fr-FR"/>
        </w:rPr>
      </w:pPr>
    </w:p>
    <w:p w14:paraId="319F7E6E" w14:textId="77777777" w:rsidR="00120ED2" w:rsidRPr="001861DD" w:rsidRDefault="0062413C">
      <w:pPr>
        <w:pStyle w:val="Corps"/>
        <w:numPr>
          <w:ilvl w:val="0"/>
          <w:numId w:val="2"/>
        </w:numPr>
        <w:rPr>
          <w:lang w:val="fr-FR"/>
        </w:rPr>
      </w:pPr>
      <w:r w:rsidRPr="001861DD">
        <w:rPr>
          <w:lang w:val="fr-FR"/>
        </w:rPr>
        <w:t xml:space="preserve">Les variants génétiques “rares” sont présents chez moins d’un individu sur 1000, et peuvent pour certains d’entre eux être pathogènes. Ils se retrouvent plus fréquemment dans une population de patients présentant une maladie donnée que dans la population contrôle (où ils sont rares par définition), et </w:t>
      </w:r>
      <w:proofErr w:type="spellStart"/>
      <w:r w:rsidRPr="001861DD">
        <w:rPr>
          <w:lang w:val="fr-FR"/>
        </w:rPr>
        <w:t>ségrègent</w:t>
      </w:r>
      <w:proofErr w:type="spellEnd"/>
      <w:r w:rsidRPr="001861DD">
        <w:rPr>
          <w:lang w:val="fr-FR"/>
        </w:rPr>
        <w:t xml:space="preserve"> au sein des familles avec la maladie considérée. On les </w:t>
      </w:r>
      <w:r w:rsidRPr="001861DD">
        <w:rPr>
          <w:lang w:val="fr-FR"/>
        </w:rPr>
        <w:lastRenderedPageBreak/>
        <w:t>appelle alors des mutations. Ces mutations confèrent à elles seules un risque (</w:t>
      </w:r>
      <w:proofErr w:type="spellStart"/>
      <w:r w:rsidRPr="001861DD">
        <w:rPr>
          <w:lang w:val="fr-FR"/>
        </w:rPr>
        <w:t>odds</w:t>
      </w:r>
      <w:proofErr w:type="spellEnd"/>
      <w:r w:rsidRPr="001861DD">
        <w:rPr>
          <w:lang w:val="fr-FR"/>
        </w:rPr>
        <w:t xml:space="preserve"> ratio) significatif pour une maladie donnée: la présence d’une seule de ces mutations chez un individu suffit à mener au développement d’une maladie. On est alors dans le spectre des maladies “</w:t>
      </w:r>
      <w:proofErr w:type="spellStart"/>
      <w:r w:rsidRPr="001861DD">
        <w:rPr>
          <w:lang w:val="fr-FR"/>
        </w:rPr>
        <w:t>monogéniques</w:t>
      </w:r>
      <w:proofErr w:type="spellEnd"/>
      <w:r w:rsidRPr="001861DD">
        <w:rPr>
          <w:lang w:val="fr-FR"/>
        </w:rPr>
        <w:t xml:space="preserve">”, pour lesquelles il existe une transmission du risque de génération en génération. On parle d’hérédité « simple » ou « mendélienne ». Un screening familial approprié permettra d’identifier les modalités de transmission du risque: on distinguera une transmission de type autosomique dominante ou récessive, ou liée au chromosome X. Les principaux exemples de telles maladies en rythmologie sont les syndromes du QT long, le syndrome de </w:t>
      </w:r>
      <w:proofErr w:type="spellStart"/>
      <w:r w:rsidRPr="001861DD">
        <w:rPr>
          <w:lang w:val="fr-FR"/>
        </w:rPr>
        <w:t>Brugada</w:t>
      </w:r>
      <w:proofErr w:type="spellEnd"/>
      <w:r w:rsidRPr="001861DD">
        <w:rPr>
          <w:lang w:val="fr-FR"/>
        </w:rPr>
        <w:t>, les QT courts, les tachycardies polymorphes, et les cardiomyopathies. Dans ces maladies, la composante héréditaire est forte et l’on en identifie relativement facilement le caractère familial. Identifier celle-ci nécessitera une stratégie de screening, qui commence par l’anamnèse familiale, et dont la complexité dépendra du type et de la sévérité de l’affection considérée.</w:t>
      </w:r>
    </w:p>
    <w:p w14:paraId="4EC219DA" w14:textId="77777777" w:rsidR="00120ED2" w:rsidRPr="001861DD" w:rsidRDefault="00120ED2">
      <w:pPr>
        <w:pStyle w:val="Corps"/>
        <w:rPr>
          <w:rFonts w:ascii="Times New Roman" w:eastAsia="Times New Roman" w:hAnsi="Times New Roman" w:cs="Times New Roman"/>
          <w:lang w:val="fr-FR"/>
        </w:rPr>
      </w:pPr>
    </w:p>
    <w:p w14:paraId="07669C83" w14:textId="0DA11D29" w:rsidR="00120ED2" w:rsidRPr="001861DD" w:rsidRDefault="0062413C">
      <w:pPr>
        <w:pStyle w:val="Corps"/>
        <w:numPr>
          <w:ilvl w:val="0"/>
          <w:numId w:val="2"/>
        </w:numPr>
        <w:rPr>
          <w:lang w:val="fr-FR"/>
        </w:rPr>
      </w:pPr>
      <w:r w:rsidRPr="001861DD">
        <w:rPr>
          <w:lang w:val="fr-FR"/>
        </w:rPr>
        <w:t>Les variants fréquents sont retrouvés chez de nombreux individus. A l’extrême, ils font partie des éléments sous-tendant la variabilité entre les individus. Certains d’entre eux peuvent néanmoins avoir un rôle pathogène, mais le risque relatif (</w:t>
      </w:r>
      <w:proofErr w:type="spellStart"/>
      <w:r w:rsidRPr="001861DD">
        <w:rPr>
          <w:lang w:val="fr-FR"/>
        </w:rPr>
        <w:t>odds</w:t>
      </w:r>
      <w:proofErr w:type="spellEnd"/>
      <w:r w:rsidRPr="001861DD">
        <w:rPr>
          <w:lang w:val="fr-FR"/>
        </w:rPr>
        <w:t xml:space="preserve"> ratio) qu’il</w:t>
      </w:r>
      <w:r>
        <w:rPr>
          <w:lang w:val="fr-FR"/>
        </w:rPr>
        <w:t>s</w:t>
      </w:r>
      <w:r w:rsidRPr="001861DD">
        <w:rPr>
          <w:lang w:val="fr-FR"/>
        </w:rPr>
        <w:t xml:space="preserve"> confèrent pour une maladie est en général faible. C’est alors l’accumulation de plusieurs de ces variants chez un individu qui lui confère un risque pour une maladie donnée, alors que chacun des variants seul à seul n’entraînera pas de risque significatif. Dans ce cas, les facteurs « exogènes » dont l’environnement et le mode de vie jouent un rôle souvent comparable aux facteurs génétiques, et on parle donc de maladies multifactorielles. L’hérédité est alors dite « complexe »,  non-</w:t>
      </w:r>
      <w:proofErr w:type="spellStart"/>
      <w:r w:rsidRPr="001861DD">
        <w:rPr>
          <w:lang w:val="fr-FR"/>
        </w:rPr>
        <w:t>mendeléenne</w:t>
      </w:r>
      <w:proofErr w:type="spellEnd"/>
      <w:r w:rsidRPr="001861DD">
        <w:rPr>
          <w:lang w:val="fr-FR"/>
        </w:rPr>
        <w:t>, et se traduit par une absence de transmission évidente du risque de génération en génération, mais plutôt par une « histoire familiale de… », nettement moins prononcée que pour les maladies rares. C’est le cas notamment de la FA, de l’hypertension artérielle, du diabète, des dyslipidémies communes et des maladies coronaires. Ces affections peuvent se manifester par un événement rythmique et sont rencontrées en pratique « courante ». Identifier les variants génétiques associés à ces affections demand</w:t>
      </w:r>
      <w:r w:rsidR="006C5AC7">
        <w:rPr>
          <w:lang w:val="fr-FR"/>
        </w:rPr>
        <w:t>e l’étude de cohorte très large</w:t>
      </w:r>
      <w:r w:rsidRPr="001861DD">
        <w:rPr>
          <w:lang w:val="fr-FR"/>
        </w:rPr>
        <w:t xml:space="preserve">, permettant alors d’identifier un risque significatif pour un variant faible et fréquent. Outre la difficulté technique d’accéder à tous ces variants, c’est principalement la taille de la cohorte nécessaire et le coût de ces études qui font que ces données sont encore peu accessibles en clinique. A ce jour, identifier les déterminant génétiques liés à ces affections fait encore partie du domaine de la recherche.  </w:t>
      </w:r>
    </w:p>
    <w:p w14:paraId="068EF8AD" w14:textId="77777777" w:rsidR="00120ED2" w:rsidRPr="001861DD" w:rsidRDefault="00120ED2">
      <w:pPr>
        <w:pStyle w:val="Corps"/>
        <w:rPr>
          <w:lang w:val="fr-FR"/>
        </w:rPr>
      </w:pPr>
    </w:p>
    <w:p w14:paraId="35E6C955" w14:textId="78E878F8" w:rsidR="00120ED2" w:rsidRPr="001861DD" w:rsidRDefault="0062413C">
      <w:pPr>
        <w:pStyle w:val="Corps"/>
        <w:rPr>
          <w:lang w:val="fr-FR"/>
        </w:rPr>
      </w:pPr>
      <w:r w:rsidRPr="001861DD">
        <w:rPr>
          <w:lang w:val="fr-FR"/>
        </w:rPr>
        <w:t>Alors que seules quelques maladies « </w:t>
      </w:r>
      <w:proofErr w:type="spellStart"/>
      <w:r w:rsidRPr="001861DD">
        <w:rPr>
          <w:lang w:val="fr-FR"/>
        </w:rPr>
        <w:t>monogéniques</w:t>
      </w:r>
      <w:proofErr w:type="spellEnd"/>
      <w:r w:rsidRPr="001861DD">
        <w:rPr>
          <w:lang w:val="fr-FR"/>
        </w:rPr>
        <w:t>" rares étaient accessibles en génétique clinique jusqu’à il y a peu (comme les syndromes du QT long et certaines cardiomyopathies), l’avènement de nouvelles techniques de séquençage  (séquençage à haut débit ou de “nouvelle génération”) et l’augmentation des connaissances ont progressivement étendu le nombre de gène</w:t>
      </w:r>
      <w:r w:rsidR="006C5AC7">
        <w:rPr>
          <w:lang w:val="fr-FR"/>
        </w:rPr>
        <w:t>s</w:t>
      </w:r>
      <w:r w:rsidRPr="001861DD">
        <w:rPr>
          <w:lang w:val="fr-FR"/>
        </w:rPr>
        <w:t xml:space="preserve"> accessibles pour chacune des pathologies. Parallèlement à ceci, les coûts des analyses se sont fortement réduit</w:t>
      </w:r>
      <w:r w:rsidR="000F6795">
        <w:rPr>
          <w:lang w:val="fr-FR"/>
        </w:rPr>
        <w:t>s</w:t>
      </w:r>
      <w:r w:rsidRPr="001861DD">
        <w:rPr>
          <w:lang w:val="fr-FR"/>
        </w:rPr>
        <w:t>, faisant entrer les analyses génétiques dans une réalité clinique plus large, en particulier en cardiologie.</w:t>
      </w:r>
    </w:p>
    <w:p w14:paraId="71C69C77" w14:textId="77777777" w:rsidR="00120ED2" w:rsidRPr="001861DD" w:rsidRDefault="00120ED2">
      <w:pPr>
        <w:pStyle w:val="Corps"/>
        <w:rPr>
          <w:lang w:val="fr-FR"/>
        </w:rPr>
      </w:pPr>
    </w:p>
    <w:p w14:paraId="6B6D7238" w14:textId="46C7FF78" w:rsidR="00120ED2" w:rsidRPr="001861DD" w:rsidRDefault="0062413C">
      <w:pPr>
        <w:pStyle w:val="Corps"/>
        <w:rPr>
          <w:lang w:val="fr-FR"/>
        </w:rPr>
      </w:pPr>
      <w:r w:rsidRPr="001861DD">
        <w:rPr>
          <w:lang w:val="fr-FR"/>
        </w:rPr>
        <w:t>Les principales maladies rythmiques pour lesquelles un conseil génétique est recommandé ou accessib</w:t>
      </w:r>
      <w:r w:rsidR="00941D88">
        <w:rPr>
          <w:lang w:val="fr-FR"/>
        </w:rPr>
        <w:t>le sont reprises dans la table</w:t>
      </w:r>
      <w:r w:rsidRPr="001861DD">
        <w:rPr>
          <w:lang w:val="fr-FR"/>
        </w:rPr>
        <w:t xml:space="preserve"> 1.</w:t>
      </w:r>
    </w:p>
    <w:p w14:paraId="60C3CB3F" w14:textId="77777777" w:rsidR="00120ED2" w:rsidRPr="001861DD" w:rsidRDefault="00120ED2">
      <w:pPr>
        <w:pStyle w:val="Corps"/>
        <w:rPr>
          <w:lang w:val="fr-FR"/>
        </w:rPr>
      </w:pPr>
    </w:p>
    <w:p w14:paraId="5259284C" w14:textId="77777777" w:rsidR="00120ED2" w:rsidRPr="001861DD" w:rsidRDefault="0062413C">
      <w:pPr>
        <w:pStyle w:val="Subtitle"/>
        <w:rPr>
          <w:lang w:val="fr-FR"/>
        </w:rPr>
      </w:pPr>
      <w:r w:rsidRPr="001861DD">
        <w:rPr>
          <w:lang w:val="fr-FR"/>
        </w:rPr>
        <w:t>Déterminants génétiques et risque</w:t>
      </w:r>
    </w:p>
    <w:p w14:paraId="416BC17A" w14:textId="77777777" w:rsidR="00120ED2" w:rsidRPr="001861DD" w:rsidRDefault="0062413C">
      <w:pPr>
        <w:pStyle w:val="Corps"/>
        <w:rPr>
          <w:lang w:val="fr-FR"/>
        </w:rPr>
      </w:pPr>
      <w:r w:rsidRPr="001861DD">
        <w:rPr>
          <w:lang w:val="fr-FR"/>
        </w:rPr>
        <w:t xml:space="preserve">Que l’on considère une maladie rare ou fréquente, la survenue d’une maladie doit être vue comme le résultat de l’intégration d’une série de paramètres intrinsèques (génétiques, hormonaux, épigénétiques,…) et extrinsèques (exposition, environnement, mode de vie,…). C’est leur résultante qui conférera un risque ou une protection face à une maladie. La génétique est donc un facteur de risque (ou protecteur) comme un autre, plus ou moins puissant selon l’affection considérée (et souvent inversement proportionnel à la fréquence de l’allèle). De ce point de vue, la génétique peut être considérée comme de l’« épidémiologie moderne et moléculaire ». </w:t>
      </w:r>
    </w:p>
    <w:p w14:paraId="5DEA454D" w14:textId="77777777" w:rsidR="00120ED2" w:rsidRPr="001861DD" w:rsidRDefault="00120ED2">
      <w:pPr>
        <w:pStyle w:val="Corps"/>
        <w:rPr>
          <w:lang w:val="fr-FR"/>
        </w:rPr>
      </w:pPr>
    </w:p>
    <w:p w14:paraId="7F718EF5" w14:textId="77777777" w:rsidR="00120ED2" w:rsidRPr="001861DD" w:rsidRDefault="0062413C">
      <w:pPr>
        <w:pStyle w:val="Corps"/>
        <w:rPr>
          <w:lang w:val="fr-FR"/>
        </w:rPr>
      </w:pPr>
      <w:r w:rsidRPr="001861DD">
        <w:rPr>
          <w:lang w:val="fr-FR"/>
        </w:rPr>
        <w:t xml:space="preserve">Pour le patient et ses proches, ceci se traduira par des caractéristiques liées au trait génétique que sont la pénétrance, l’expressivité, et la pléiotropie. </w:t>
      </w:r>
    </w:p>
    <w:p w14:paraId="4286541A" w14:textId="77777777" w:rsidR="00120ED2" w:rsidRPr="001861DD" w:rsidRDefault="0062413C">
      <w:pPr>
        <w:pStyle w:val="Sous-section2"/>
        <w:numPr>
          <w:ilvl w:val="1"/>
          <w:numId w:val="4"/>
        </w:numPr>
        <w:rPr>
          <w:lang w:val="fr-FR"/>
        </w:rPr>
      </w:pPr>
      <w:r w:rsidRPr="001861DD">
        <w:rPr>
          <w:u w:val="single"/>
          <w:lang w:val="fr-FR"/>
        </w:rPr>
        <w:lastRenderedPageBreak/>
        <w:t>La pénétrance</w:t>
      </w:r>
      <w:r w:rsidRPr="001861DD">
        <w:rPr>
          <w:lang w:val="fr-FR"/>
        </w:rPr>
        <w:t xml:space="preserve"> définit la proportion d’individus porteurs d’un allèle donné qui développeront la maladie qui lui est associée. Celle-ci est souvent incomplète, rendant compte que seule une partie des individus porteurs d’une mutation donnée développeront un jour la maladie correspondante. Par exemple, pour les QT longs, la pénétrance est de l’ordre de 60 %, ce qui signifie que seuls 60 % des porteurs d’une mutation pathogène développeront un jour un QT long. Certains individus peuvent donc être des « porteurs sains », et transmettre le risque sans être atteints.</w:t>
      </w:r>
    </w:p>
    <w:p w14:paraId="3655301B" w14:textId="77777777" w:rsidR="00120ED2" w:rsidRPr="001861DD" w:rsidRDefault="0062413C">
      <w:pPr>
        <w:pStyle w:val="Sous-section2"/>
        <w:numPr>
          <w:ilvl w:val="1"/>
          <w:numId w:val="4"/>
        </w:numPr>
        <w:rPr>
          <w:lang w:val="fr-FR"/>
        </w:rPr>
      </w:pPr>
      <w:r w:rsidRPr="001861DD">
        <w:rPr>
          <w:u w:val="single"/>
          <w:lang w:val="fr-FR"/>
        </w:rPr>
        <w:t xml:space="preserve">L’expressivité </w:t>
      </w:r>
      <w:r w:rsidRPr="001861DD">
        <w:rPr>
          <w:lang w:val="fr-FR"/>
        </w:rPr>
        <w:t xml:space="preserve">définit l’intensité avec laquelle la maladie héréditaire se manifeste. C’est en quelque sorte l’amplitude de la maladie considérée. Il est important de souligner que pour la plupart des affections, l’expressivité augmente avec l’âge, comme pour les cardiomyopathies hypertrophiques dont le phénotype clinique apparait en général durant l’adolescence et devient évident vers 20-30 ans. Pour d’autres (comme pour le QT long),  le phénotype peut fluctuer au cours du temps et n’être présent chez un individu susceptible que dans certaines conditions (ex lors de prise de médicaments,…). </w:t>
      </w:r>
    </w:p>
    <w:p w14:paraId="7D233A4C" w14:textId="77777777" w:rsidR="00120ED2" w:rsidRPr="001861DD" w:rsidRDefault="0062413C">
      <w:pPr>
        <w:pStyle w:val="Sous-section2"/>
        <w:numPr>
          <w:ilvl w:val="1"/>
          <w:numId w:val="4"/>
        </w:numPr>
        <w:rPr>
          <w:lang w:val="fr-FR"/>
        </w:rPr>
      </w:pPr>
      <w:r w:rsidRPr="001861DD">
        <w:rPr>
          <w:u w:val="single"/>
          <w:lang w:val="fr-FR"/>
        </w:rPr>
        <w:t>La pléiotropie</w:t>
      </w:r>
      <w:r w:rsidRPr="001861DD">
        <w:rPr>
          <w:lang w:val="fr-FR"/>
        </w:rPr>
        <w:t xml:space="preserve"> définit le fait qu’une mutation peut être associée à plusieurs phénotypes/plusieurs maladies. Ainsi on retrouve des mutations perte de fonction SCN5A, qui peuvent être associées tant au syndrome de </w:t>
      </w:r>
      <w:proofErr w:type="spellStart"/>
      <w:r w:rsidRPr="001861DD">
        <w:rPr>
          <w:lang w:val="fr-FR"/>
        </w:rPr>
        <w:t>Brugada</w:t>
      </w:r>
      <w:proofErr w:type="spellEnd"/>
      <w:r w:rsidRPr="001861DD">
        <w:rPr>
          <w:lang w:val="fr-FR"/>
        </w:rPr>
        <w:t>, qu’à des cardiomyopathies dilatées avec trouble de conduction, qu’à des dysfonctions sinusales. Des mutations par gain de fonction SCN5A peuvent être associée à des QT longs (QTL3).</w:t>
      </w:r>
    </w:p>
    <w:p w14:paraId="4B80622E" w14:textId="77777777" w:rsidR="00120ED2" w:rsidRPr="001861DD" w:rsidRDefault="00120ED2">
      <w:pPr>
        <w:pStyle w:val="Corps"/>
        <w:ind w:left="720"/>
        <w:rPr>
          <w:lang w:val="fr-FR"/>
        </w:rPr>
      </w:pPr>
    </w:p>
    <w:p w14:paraId="17436032" w14:textId="3EC2A847" w:rsidR="00120ED2" w:rsidRPr="001861DD" w:rsidRDefault="0062413C" w:rsidP="00F87772">
      <w:pPr>
        <w:pStyle w:val="Sous-section2"/>
        <w:rPr>
          <w:lang w:val="fr-FR"/>
        </w:rPr>
      </w:pPr>
      <w:r w:rsidRPr="001861DD">
        <w:rPr>
          <w:lang w:val="fr-FR"/>
        </w:rPr>
        <w:t>Compte tenu de ceci, il est très important de considérer qu’un examen ponctuel chez un individu ne permet pas d’écarter pour lui le risque de développer une maladie héréditaire. Un suivi clinique répété doit donc être proposé aux proches d’un patient souffrant d’une affection potentiellement héréditaire, cherchant tous les points d’appel dans le spectre de l’affection considérée. Les schémas de suivi (âge de début, fréquence, examens) pour les apparentés varient selon les affections considérées et leur sévérité, et sont pour la plupart repris dans les guidelines ou des documents de consensus</w:t>
      </w:r>
      <w:r w:rsidR="000F6795" w:rsidRPr="0019419C">
        <w:rPr>
          <w:vertAlign w:val="superscript"/>
          <w:lang w:val="fr-FR"/>
        </w:rPr>
        <w:t>1-</w:t>
      </w:r>
      <w:r w:rsidR="000F6795" w:rsidRPr="000F6795">
        <w:rPr>
          <w:vertAlign w:val="superscript"/>
          <w:lang w:val="fr-FR"/>
        </w:rPr>
        <w:t>4</w:t>
      </w:r>
      <w:r w:rsidRPr="001861DD">
        <w:rPr>
          <w:lang w:val="fr-FR"/>
        </w:rPr>
        <w:t>.</w:t>
      </w:r>
    </w:p>
    <w:p w14:paraId="0ECE1DB5" w14:textId="77777777" w:rsidR="00120ED2" w:rsidRPr="001861DD" w:rsidRDefault="00120ED2" w:rsidP="00F87772">
      <w:pPr>
        <w:pStyle w:val="Corps"/>
        <w:rPr>
          <w:lang w:val="fr-FR"/>
        </w:rPr>
      </w:pPr>
    </w:p>
    <w:p w14:paraId="14565D6E" w14:textId="77777777" w:rsidR="00120ED2" w:rsidRPr="001861DD" w:rsidRDefault="0062413C" w:rsidP="00F87772">
      <w:pPr>
        <w:pStyle w:val="Subtitle"/>
        <w:rPr>
          <w:lang w:val="fr-FR"/>
        </w:rPr>
      </w:pPr>
      <w:r w:rsidRPr="001861DD">
        <w:rPr>
          <w:lang w:val="fr-FR"/>
        </w:rPr>
        <w:t xml:space="preserve">Le patient en conseil génétique </w:t>
      </w:r>
    </w:p>
    <w:p w14:paraId="504B1309" w14:textId="6BDCEC9B" w:rsidR="00120ED2" w:rsidRPr="001861DD" w:rsidRDefault="0062413C" w:rsidP="00F87772">
      <w:pPr>
        <w:pStyle w:val="Corps"/>
        <w:rPr>
          <w:lang w:val="fr-FR"/>
        </w:rPr>
      </w:pPr>
      <w:r w:rsidRPr="001861DD">
        <w:rPr>
          <w:lang w:val="fr-FR"/>
        </w:rPr>
        <w:t>Identifier les déterminants génétiques responsable</w:t>
      </w:r>
      <w:r w:rsidR="00001607">
        <w:rPr>
          <w:lang w:val="fr-FR"/>
        </w:rPr>
        <w:t>s</w:t>
      </w:r>
      <w:r w:rsidRPr="001861DD">
        <w:rPr>
          <w:lang w:val="fr-FR"/>
        </w:rPr>
        <w:t xml:space="preserve"> d’une pathologie dans une famille est un processus complexe, opérant en plusieurs étapes. Il faut se rappeler que notre génome comporte plus de 40000 gènes et qu’une variation normale existe entre le génome de chaque individu. Le défi du généticien sera donc d’identifier parmi cette multitude de gènes et de variants potentiels lesquels sont effectivement responsable</w:t>
      </w:r>
      <w:r w:rsidR="00001607">
        <w:rPr>
          <w:lang w:val="fr-FR"/>
        </w:rPr>
        <w:t>s</w:t>
      </w:r>
      <w:r w:rsidRPr="001861DD">
        <w:rPr>
          <w:lang w:val="fr-FR"/>
        </w:rPr>
        <w:t xml:space="preserve"> de l’affection considérée.  </w:t>
      </w:r>
    </w:p>
    <w:p w14:paraId="6B262472" w14:textId="77777777" w:rsidR="00120ED2" w:rsidRPr="001861DD" w:rsidRDefault="00120ED2" w:rsidP="00F87772">
      <w:pPr>
        <w:pStyle w:val="Corps"/>
        <w:rPr>
          <w:lang w:val="fr-FR"/>
        </w:rPr>
      </w:pPr>
    </w:p>
    <w:p w14:paraId="315123FF" w14:textId="77777777" w:rsidR="00120ED2" w:rsidRPr="001861DD" w:rsidRDefault="0062413C" w:rsidP="00F87772">
      <w:pPr>
        <w:pStyle w:val="Corps"/>
        <w:rPr>
          <w:lang w:val="fr-FR"/>
        </w:rPr>
      </w:pPr>
      <w:r w:rsidRPr="001861DD">
        <w:rPr>
          <w:lang w:val="fr-FR"/>
        </w:rPr>
        <w:t xml:space="preserve">De ce fait, une série de conditions aident à rendre le conseil génétique efficace. </w:t>
      </w:r>
    </w:p>
    <w:p w14:paraId="10DECDC6" w14:textId="77777777" w:rsidR="00120ED2" w:rsidRPr="001861DD" w:rsidRDefault="0062413C" w:rsidP="00F87772">
      <w:pPr>
        <w:pStyle w:val="Corps"/>
        <w:rPr>
          <w:lang w:val="fr-FR"/>
        </w:rPr>
      </w:pPr>
      <w:r w:rsidRPr="001861DD">
        <w:rPr>
          <w:lang w:val="fr-FR"/>
        </w:rPr>
        <w:t xml:space="preserve">1- </w:t>
      </w:r>
      <w:r w:rsidRPr="001861DD">
        <w:rPr>
          <w:u w:val="single"/>
          <w:lang w:val="fr-FR"/>
        </w:rPr>
        <w:t>Le phénotype du patient référé en consultation de conseil génétique doit être le plus précis possible.</w:t>
      </w:r>
      <w:r w:rsidRPr="001861DD">
        <w:rPr>
          <w:lang w:val="fr-FR"/>
        </w:rPr>
        <w:t xml:space="preserve"> Il faut tenter de référer vers un centre de génétique le patient présentant l’expressivité la plus marquée dans la famille. L’âge est de ce fait un critère important: une maladie sévère survenant chez un individu jeune est plus fréquemment associée à des déterminants génétiques forts qu’une maladie survenant à un âge avancé. C’est à partir du sujet le plus expressif et avec une bonne hypothèse de départ, que l’on définira les gènes potentiels à étudier.</w:t>
      </w:r>
    </w:p>
    <w:p w14:paraId="4E88DA21" w14:textId="77777777" w:rsidR="00120ED2" w:rsidRPr="001861DD" w:rsidRDefault="0062413C" w:rsidP="00F87772">
      <w:pPr>
        <w:pStyle w:val="Corps"/>
        <w:rPr>
          <w:lang w:val="fr-FR"/>
        </w:rPr>
      </w:pPr>
      <w:r w:rsidRPr="001861DD">
        <w:rPr>
          <w:lang w:val="fr-FR"/>
        </w:rPr>
        <w:t xml:space="preserve">2- </w:t>
      </w:r>
      <w:r w:rsidRPr="001861DD">
        <w:rPr>
          <w:u w:val="single"/>
          <w:lang w:val="fr-FR"/>
        </w:rPr>
        <w:t xml:space="preserve">Une famille bien caractérisée, avec de nombreux individus à risque et potentiellement accessibles. </w:t>
      </w:r>
      <w:r w:rsidRPr="001861DD">
        <w:rPr>
          <w:lang w:val="fr-FR"/>
        </w:rPr>
        <w:t>Cette condition est d’autant plus importante que l’on s’adresse à une maladie pour laquelle le nombre de gènes potentiels augmente ou pour laquelle les connaissances sont limitées, ou si la probabilité d’obtenir un variant de signification incertaine est importante (ceci étant souvent lié aux nombres de gènes étudiés). C’est en fait cette dimension familiale qui permettra de définir “la profondeur” de l’analyse génétique selon la maladie considérée, de faire le tri parmi les variants identifiés (en confrontation également avec la littérature et les bases de données), de préciser le mode d’hérédité et potentiellement d’identifier une association avec de nouveaux gènes/variants. L’analyse du patient et de ses parents (analyse en trio), ou du patient et d’un autre individu malade dans la famille, simplifie de ce fait fortement l’analyse d’un séquençage à large échelle, et est souvent demandée pour procéder à des analyses larges.</w:t>
      </w:r>
    </w:p>
    <w:p w14:paraId="7324FC7A" w14:textId="77777777" w:rsidR="00120ED2" w:rsidRPr="001861DD" w:rsidRDefault="0062413C" w:rsidP="00F87772">
      <w:pPr>
        <w:pStyle w:val="Corps"/>
        <w:rPr>
          <w:lang w:val="fr-FR"/>
        </w:rPr>
      </w:pPr>
      <w:r w:rsidRPr="001861DD">
        <w:rPr>
          <w:lang w:val="fr-FR"/>
        </w:rPr>
        <w:t>3-</w:t>
      </w:r>
      <w:r w:rsidRPr="001861DD">
        <w:rPr>
          <w:u w:val="single"/>
          <w:lang w:val="fr-FR"/>
        </w:rPr>
        <w:t>L’état des connaissances de la maladie considérée</w:t>
      </w:r>
      <w:r w:rsidRPr="001861DD">
        <w:rPr>
          <w:lang w:val="fr-FR"/>
        </w:rPr>
        <w:t xml:space="preserve">. Une maladie bien caractérisée avec un nombre restreint de gènes rendant compte de la majorité des cas, et de préférence courts, dont les </w:t>
      </w:r>
      <w:r w:rsidRPr="001861DD">
        <w:rPr>
          <w:lang w:val="fr-FR"/>
        </w:rPr>
        <w:lastRenderedPageBreak/>
        <w:t>mutations pathogènes et les variants sans signification sont bien décrits, facilite l’approche génétique.</w:t>
      </w:r>
    </w:p>
    <w:p w14:paraId="6CF6C203" w14:textId="77777777" w:rsidR="00120ED2" w:rsidRPr="001861DD" w:rsidRDefault="00120ED2" w:rsidP="00F87772">
      <w:pPr>
        <w:pStyle w:val="Pardfaut"/>
        <w:rPr>
          <w:lang w:val="fr-FR"/>
        </w:rPr>
      </w:pPr>
    </w:p>
    <w:p w14:paraId="517DEA4B" w14:textId="77777777" w:rsidR="00120ED2" w:rsidRPr="001861DD" w:rsidRDefault="0062413C" w:rsidP="00F87772">
      <w:pPr>
        <w:pStyle w:val="Corps"/>
        <w:rPr>
          <w:lang w:val="fr-FR"/>
        </w:rPr>
      </w:pPr>
      <w:r w:rsidRPr="001861DD">
        <w:rPr>
          <w:lang w:val="fr-FR"/>
        </w:rPr>
        <w:t>Le patient référé au départ en consultation de consultation de conseil génétique doit donc  idéalement être le représentant de la famille présentant les traits de la maladie les plus caractéristiques et dont le diagnostic est le mieux défini. On l’appelle le « cas index ».</w:t>
      </w:r>
    </w:p>
    <w:p w14:paraId="66922D2A" w14:textId="77777777" w:rsidR="00120ED2" w:rsidRPr="001861DD" w:rsidRDefault="00120ED2" w:rsidP="00F87772">
      <w:pPr>
        <w:pStyle w:val="Corps"/>
        <w:rPr>
          <w:lang w:val="fr-FR"/>
        </w:rPr>
      </w:pPr>
    </w:p>
    <w:p w14:paraId="10DB9002" w14:textId="49C66412" w:rsidR="00120ED2" w:rsidRPr="001861DD" w:rsidRDefault="00F24EF8" w:rsidP="00F87772">
      <w:pPr>
        <w:pStyle w:val="Subtitle"/>
        <w:rPr>
          <w:lang w:val="fr-FR"/>
        </w:rPr>
      </w:pPr>
      <w:r>
        <w:rPr>
          <w:lang w:val="fr-FR"/>
        </w:rPr>
        <w:t>Implication :</w:t>
      </w:r>
    </w:p>
    <w:p w14:paraId="523057D8" w14:textId="77777777" w:rsidR="00120ED2" w:rsidRPr="001861DD" w:rsidRDefault="0062413C" w:rsidP="00F87772">
      <w:pPr>
        <w:pStyle w:val="Corps"/>
        <w:rPr>
          <w:lang w:val="fr-FR"/>
        </w:rPr>
      </w:pPr>
      <w:r w:rsidRPr="001861DD">
        <w:rPr>
          <w:lang w:val="fr-FR"/>
        </w:rPr>
        <w:t xml:space="preserve">Une démarche de conseil génétique peut avoir plusieurs objectifs pour le patient et ses proches. </w:t>
      </w:r>
    </w:p>
    <w:p w14:paraId="23A6DF60" w14:textId="77777777" w:rsidR="00120ED2" w:rsidRPr="001861DD" w:rsidRDefault="00120ED2" w:rsidP="00F87772">
      <w:pPr>
        <w:pStyle w:val="Corps"/>
        <w:rPr>
          <w:lang w:val="fr-FR"/>
        </w:rPr>
      </w:pPr>
    </w:p>
    <w:p w14:paraId="53D41A8C" w14:textId="77777777" w:rsidR="00120ED2" w:rsidRPr="001861DD" w:rsidRDefault="0062413C" w:rsidP="00F87772">
      <w:pPr>
        <w:pStyle w:val="Corps"/>
        <w:rPr>
          <w:lang w:val="fr-FR"/>
        </w:rPr>
      </w:pPr>
      <w:r w:rsidRPr="001861DD">
        <w:rPr>
          <w:lang w:val="fr-FR"/>
        </w:rPr>
        <w:t xml:space="preserve">Pour le patient, elle peut avoir pour but de confirmer le diagnostic posé cliniquement, de définir les mécanismes responsables de la maladie et de proposer une stratification du risque. Dans certains cas, comme pour le QT long où le test génétique permet d’identifier le sous-type, le résultat peut avoir une influence sur la prise en charge du patient, et peut avoir des implications pronostiques. </w:t>
      </w:r>
    </w:p>
    <w:p w14:paraId="0B0B614D" w14:textId="77777777" w:rsidR="00120ED2" w:rsidRPr="001861DD" w:rsidRDefault="00120ED2" w:rsidP="00F87772">
      <w:pPr>
        <w:pStyle w:val="Corps"/>
        <w:rPr>
          <w:lang w:val="fr-FR"/>
        </w:rPr>
      </w:pPr>
    </w:p>
    <w:p w14:paraId="4EA084CA" w14:textId="3A2B0F06" w:rsidR="00120ED2" w:rsidRPr="001861DD" w:rsidRDefault="0062413C" w:rsidP="00F87772">
      <w:pPr>
        <w:pStyle w:val="Corps"/>
        <w:rPr>
          <w:lang w:val="fr-FR"/>
        </w:rPr>
      </w:pPr>
      <w:r w:rsidRPr="001861DD">
        <w:rPr>
          <w:lang w:val="fr-FR"/>
        </w:rPr>
        <w:t>Pour les proches, le résultat va potentiellement permettre de mettre en place une stratégie “en cascade”, partant du cas index vers le reste de la famille, permettant à l’aide du test génétique de stratifier leur risque de développer la maladie considérée. Il s’agit alors parfois d’une approche “pré-symptomatique”, pour laquelle les implications de l’obtention du résultat doivent être bien discutées. Dans ce contexte, une évaluation psychologique est proposée, permettant de mieux préparer les individus aux implications du test. Globalement cette approche en c</w:t>
      </w:r>
      <w:r w:rsidR="00F24EF8">
        <w:rPr>
          <w:lang w:val="fr-FR"/>
        </w:rPr>
        <w:t>ascade permettra de soustraire d</w:t>
      </w:r>
      <w:r w:rsidRPr="001861DD">
        <w:rPr>
          <w:lang w:val="fr-FR"/>
        </w:rPr>
        <w:t xml:space="preserve">u suivi clinique une partie des proches, et d’inquiéter les individus effectivement à risque, pour autant que les proches soient demandeurs et prêts à recevoir cette information. A l’avenir, il est possible que </w:t>
      </w:r>
      <w:r w:rsidR="00F24EF8">
        <w:rPr>
          <w:lang w:val="fr-FR"/>
        </w:rPr>
        <w:t>nous ay</w:t>
      </w:r>
      <w:r w:rsidRPr="001861DD">
        <w:rPr>
          <w:lang w:val="fr-FR"/>
        </w:rPr>
        <w:t>ons accès à des thérapies ciblées permettant d’éviter la survenue de maladies chez des individus potentiellement à risque.</w:t>
      </w:r>
    </w:p>
    <w:p w14:paraId="7F130D99" w14:textId="77777777" w:rsidR="00120ED2" w:rsidRPr="001861DD" w:rsidRDefault="00120ED2" w:rsidP="00F87772">
      <w:pPr>
        <w:pStyle w:val="Corps"/>
        <w:rPr>
          <w:lang w:val="fr-FR"/>
        </w:rPr>
      </w:pPr>
    </w:p>
    <w:p w14:paraId="18FDAD15" w14:textId="445CBC5B" w:rsidR="00120ED2" w:rsidRPr="001861DD" w:rsidRDefault="0062413C" w:rsidP="00F87772">
      <w:pPr>
        <w:pStyle w:val="Corps"/>
        <w:rPr>
          <w:lang w:val="fr-FR"/>
        </w:rPr>
      </w:pPr>
      <w:r w:rsidRPr="001861DD">
        <w:rPr>
          <w:lang w:val="fr-FR"/>
        </w:rPr>
        <w:t>Considérant les affections pour lesquelles il existe un risque vital ou de morbidité importante, une approche de stratification de risque peut</w:t>
      </w:r>
      <w:r w:rsidR="009C463D">
        <w:rPr>
          <w:lang w:val="fr-FR"/>
        </w:rPr>
        <w:t xml:space="preserve"> également être proposée en pré</w:t>
      </w:r>
      <w:r w:rsidRPr="001861DD">
        <w:rPr>
          <w:lang w:val="fr-FR"/>
        </w:rPr>
        <w:t>natal (y compris pré-</w:t>
      </w:r>
      <w:proofErr w:type="spellStart"/>
      <w:r w:rsidRPr="001861DD">
        <w:rPr>
          <w:lang w:val="fr-FR"/>
        </w:rPr>
        <w:t>conceptionnelle</w:t>
      </w:r>
      <w:proofErr w:type="spellEnd"/>
      <w:r w:rsidRPr="001861DD">
        <w:rPr>
          <w:lang w:val="fr-FR"/>
        </w:rPr>
        <w:t xml:space="preserve">) ou en périnatal, ceci devant bien entendu se discuter au cas par cas. Le conseil génétique prénatal prend alors une dimension multidisciplinaire avec les psychologues et les acteurs des services d’obstétrique. </w:t>
      </w:r>
    </w:p>
    <w:p w14:paraId="56E5B3E7" w14:textId="77777777" w:rsidR="00120ED2" w:rsidRPr="001861DD" w:rsidRDefault="00120ED2" w:rsidP="00F87772">
      <w:pPr>
        <w:pStyle w:val="Corps"/>
        <w:rPr>
          <w:lang w:val="fr-FR"/>
        </w:rPr>
      </w:pPr>
    </w:p>
    <w:p w14:paraId="646A4072" w14:textId="34B2C142" w:rsidR="00120ED2" w:rsidRPr="001861DD" w:rsidRDefault="0062413C" w:rsidP="00F87772">
      <w:pPr>
        <w:pStyle w:val="Corps"/>
        <w:rPr>
          <w:lang w:val="fr-FR"/>
        </w:rPr>
      </w:pPr>
      <w:r w:rsidRPr="001861DD">
        <w:rPr>
          <w:lang w:val="fr-FR"/>
        </w:rPr>
        <w:t xml:space="preserve">La dimension psychologique est particulièrement importante en génétique, de même que le respect du secret médical, notamment par rapport à des organismes tiers. Il est important de respecter pour chacun le droit de savoir ou de ne pas vouloir savoir, et ceci est particulièrement délicat lors de la réalisation de tests génétiques chez des mineurs, ou en cas d’affection présentant un risque vital. </w:t>
      </w:r>
    </w:p>
    <w:p w14:paraId="5B3752FE" w14:textId="77777777" w:rsidR="00120ED2" w:rsidRPr="001861DD" w:rsidRDefault="00120ED2" w:rsidP="00F87772">
      <w:pPr>
        <w:pStyle w:val="Corps"/>
        <w:rPr>
          <w:lang w:val="fr-FR"/>
        </w:rPr>
      </w:pPr>
    </w:p>
    <w:p w14:paraId="7477C498" w14:textId="77777777" w:rsidR="00120ED2" w:rsidRPr="001861DD" w:rsidRDefault="0062413C" w:rsidP="00F87772">
      <w:pPr>
        <w:pStyle w:val="Subtitle"/>
        <w:rPr>
          <w:lang w:val="fr-FR"/>
        </w:rPr>
      </w:pPr>
      <w:r w:rsidRPr="001861DD">
        <w:rPr>
          <w:lang w:val="fr-FR"/>
        </w:rPr>
        <w:t>Conseil génétique: le remboursement en Belgique</w:t>
      </w:r>
    </w:p>
    <w:p w14:paraId="31BDF1C2" w14:textId="20EC2370" w:rsidR="00120ED2" w:rsidRPr="001861DD" w:rsidRDefault="0062413C" w:rsidP="00F87772">
      <w:pPr>
        <w:pStyle w:val="Corps"/>
        <w:rPr>
          <w:lang w:val="fr-FR"/>
        </w:rPr>
      </w:pPr>
      <w:r w:rsidRPr="001861DD">
        <w:rPr>
          <w:lang w:val="fr-FR"/>
        </w:rPr>
        <w:t xml:space="preserve">Bien que les analyses génétiques soient complexes et onéreuses, elles bénéficient en Belgique d’un remboursement complet dans le cadre </w:t>
      </w:r>
      <w:r w:rsidR="00F24EF8">
        <w:rPr>
          <w:lang w:val="fr-FR"/>
        </w:rPr>
        <w:t xml:space="preserve">de </w:t>
      </w:r>
      <w:r w:rsidRPr="001861DD">
        <w:rPr>
          <w:lang w:val="fr-FR"/>
        </w:rPr>
        <w:t>conventions élaborées entre l’INAMI et les centres de génétique. A travers la consultation de conseil génétique, le généticien jugera de l’utilité d’un test génétique et mesurera l’impact du test pour le patient et ses proches. Il définira sur base de ces éléments le type et l’ampleur des analyses à réaliser. Tous les conseils génétiques ne débouchent donc pas sur une analyse génétique: c’est ce qui se produira si la caractérisation du patient et de sa famille est jugée insuffisante, ou si la situation semble trop complexe pour espérer un résultat cliniquement relevant, ou si l’état des connaissances est insuffisant pour la maladie considérée. Les connaissances et les techniques évoluent cependant vite, et les patients sont parfois invités à se représenter en consultation de génétique dans les 5 ans pour refaire le point. Une cartographie des centres de génétique offrant des possibilités de génétique cardiaque est en cours d’élaboration, ainsi qu’un projet de consensus belge sur ces questions.</w:t>
      </w:r>
    </w:p>
    <w:p w14:paraId="5EF060BD" w14:textId="77777777" w:rsidR="00120ED2" w:rsidRPr="001861DD" w:rsidRDefault="00120ED2" w:rsidP="00F87772">
      <w:pPr>
        <w:pStyle w:val="Corps"/>
        <w:rPr>
          <w:lang w:val="fr-FR"/>
        </w:rPr>
      </w:pPr>
    </w:p>
    <w:p w14:paraId="46BC1484" w14:textId="77777777" w:rsidR="00120ED2" w:rsidRPr="001861DD" w:rsidRDefault="0062413C" w:rsidP="00F87772">
      <w:pPr>
        <w:pStyle w:val="Subtitle"/>
        <w:rPr>
          <w:lang w:val="fr-FR"/>
        </w:rPr>
      </w:pPr>
      <w:r w:rsidRPr="001861DD">
        <w:rPr>
          <w:lang w:val="fr-FR"/>
        </w:rPr>
        <w:t>Génétique - en route vers une médecine personnalisée?</w:t>
      </w:r>
    </w:p>
    <w:p w14:paraId="386BEE56" w14:textId="30D98296" w:rsidR="00120ED2" w:rsidRPr="001861DD" w:rsidRDefault="0062413C" w:rsidP="00F87772">
      <w:pPr>
        <w:pStyle w:val="Corps"/>
        <w:rPr>
          <w:lang w:val="fr-FR"/>
        </w:rPr>
      </w:pPr>
      <w:r w:rsidRPr="001861DD">
        <w:rPr>
          <w:lang w:val="fr-FR"/>
        </w:rPr>
        <w:t xml:space="preserve">De meilleures connaissances des déterminants associés aux maladies cardiovasculaires, et de leur impact sur le devenir des patients, </w:t>
      </w:r>
      <w:r w:rsidR="005140DB" w:rsidRPr="001861DD">
        <w:rPr>
          <w:lang w:val="fr-FR"/>
        </w:rPr>
        <w:t>entrouvrent</w:t>
      </w:r>
      <w:r w:rsidRPr="001861DD">
        <w:rPr>
          <w:lang w:val="fr-FR"/>
        </w:rPr>
        <w:t xml:space="preserve"> la possibilité d’une médecine personnalisée. Dans cette médecine personnalisée, la prise de décision ne s’effectue plus sur base de données </w:t>
      </w:r>
      <w:r w:rsidRPr="001861DD">
        <w:rPr>
          <w:lang w:val="fr-FR"/>
        </w:rPr>
        <w:lastRenderedPageBreak/>
        <w:t xml:space="preserve">issues du groupe auquel appartient le patient, mais plutôt en fonction de ses caractéristiques personnelles. La génétique occupe de ce fait une place importante dans cette démarche permettant de quantifier le risque intrinsèque d’un individu face à une affection. Aussi, les stratégies de récapitulation des phénotypes des patients (dont la génération de cellules pluripotentes induites) permettant entre autres de modéliser les maladies pour en comprendre les mécanismes, mais aussi d’identifier et de prédire une réponse à un traitement, ouvrent de nouvelles perspectives en médecine. Dès aujourd’hui, les médecins doivent réfléchir à l’impact d’une telle médecine prédictive, avec tous les avantages mais aussi tous les dangers qu’elle comporte d’un point </w:t>
      </w:r>
      <w:r w:rsidR="00F24EF8">
        <w:rPr>
          <w:lang w:val="fr-FR"/>
        </w:rPr>
        <w:t xml:space="preserve">de vue éthique ou </w:t>
      </w:r>
      <w:bookmarkStart w:id="0" w:name="_GoBack"/>
      <w:bookmarkEnd w:id="0"/>
      <w:r w:rsidRPr="001861DD">
        <w:rPr>
          <w:lang w:val="fr-FR"/>
        </w:rPr>
        <w:t xml:space="preserve">sociétal. </w:t>
      </w:r>
    </w:p>
    <w:p w14:paraId="1FA31FAD" w14:textId="77777777" w:rsidR="00120ED2" w:rsidRPr="001861DD" w:rsidRDefault="00120ED2" w:rsidP="00F87772">
      <w:pPr>
        <w:pStyle w:val="Corps"/>
        <w:rPr>
          <w:lang w:val="fr-FR"/>
        </w:rPr>
      </w:pPr>
    </w:p>
    <w:p w14:paraId="5002FFCC" w14:textId="77777777" w:rsidR="00120ED2" w:rsidRPr="001861DD" w:rsidRDefault="0062413C" w:rsidP="00F87772">
      <w:pPr>
        <w:pStyle w:val="Subtitle"/>
        <w:rPr>
          <w:lang w:val="fr-FR"/>
        </w:rPr>
      </w:pPr>
      <w:r w:rsidRPr="001861DD">
        <w:rPr>
          <w:lang w:val="fr-FR"/>
        </w:rPr>
        <w:t>Conclusion</w:t>
      </w:r>
    </w:p>
    <w:p w14:paraId="1E1C07AF" w14:textId="31BCF6F4" w:rsidR="00120ED2" w:rsidRPr="001861DD" w:rsidRDefault="0062413C" w:rsidP="00F87772">
      <w:pPr>
        <w:pStyle w:val="Corps"/>
        <w:rPr>
          <w:lang w:val="fr-FR"/>
        </w:rPr>
      </w:pPr>
      <w:r w:rsidRPr="001861DD">
        <w:rPr>
          <w:lang w:val="fr-FR"/>
        </w:rPr>
        <w:t>Par l’accumulation des connaissances, la génétique cardiaque est en essor rapide, permettant de répondre à une démarche diagnostique, pronostique et de stratification du risque. Le conseil génétique vise à identifier les déterminants des maladies héréditaires et d’en étudier avec le patient et sa famille les implications. La dimension familiale occupe une place importante tant pour l’obtention d’un diagnostic que pour mesurer l’impact du résultat obtenu. Il faut prendre connaissance du contexte global, social et psychoaffectif, faisant de cette activité une activité multi</w:t>
      </w:r>
      <w:r w:rsidR="00C810C8">
        <w:rPr>
          <w:lang w:val="fr-FR"/>
        </w:rPr>
        <w:t>disciplinaire, structurée dans l</w:t>
      </w:r>
      <w:r w:rsidRPr="001861DD">
        <w:rPr>
          <w:lang w:val="fr-FR"/>
        </w:rPr>
        <w:t>es centres de</w:t>
      </w:r>
      <w:r w:rsidR="009C463D">
        <w:rPr>
          <w:lang w:val="fr-FR"/>
        </w:rPr>
        <w:t xml:space="preserve"> génétique</w:t>
      </w:r>
      <w:r w:rsidRPr="001861DD">
        <w:rPr>
          <w:lang w:val="fr-FR"/>
        </w:rPr>
        <w:t>.</w:t>
      </w:r>
    </w:p>
    <w:p w14:paraId="4E849146" w14:textId="77777777" w:rsidR="00120ED2" w:rsidRPr="001861DD" w:rsidRDefault="00120ED2" w:rsidP="00F87772">
      <w:pPr>
        <w:pStyle w:val="Corps"/>
        <w:rPr>
          <w:lang w:val="fr-FR"/>
        </w:rPr>
      </w:pPr>
    </w:p>
    <w:p w14:paraId="1C2EAD4B" w14:textId="63F7C9CB" w:rsidR="00120ED2" w:rsidRPr="00F027FA" w:rsidRDefault="0062413C" w:rsidP="00F87772">
      <w:pPr>
        <w:pStyle w:val="Corps"/>
        <w:rPr>
          <w:b/>
          <w:u w:val="single"/>
          <w:lang w:val="fr-FR"/>
        </w:rPr>
      </w:pPr>
      <w:r w:rsidRPr="00F027FA">
        <w:rPr>
          <w:b/>
          <w:u w:val="single"/>
          <w:lang w:val="fr-FR"/>
        </w:rPr>
        <w:t xml:space="preserve">Contact: </w:t>
      </w:r>
    </w:p>
    <w:p w14:paraId="45BAE60B" w14:textId="77777777" w:rsidR="00120ED2" w:rsidRPr="001861DD" w:rsidRDefault="0062413C" w:rsidP="00F87772">
      <w:pPr>
        <w:pStyle w:val="Corps"/>
        <w:rPr>
          <w:lang w:val="fr-FR"/>
        </w:rPr>
      </w:pPr>
      <w:r w:rsidRPr="001861DD">
        <w:rPr>
          <w:lang w:val="fr-FR"/>
        </w:rPr>
        <w:t>Pr Antoine Bondue</w:t>
      </w:r>
    </w:p>
    <w:p w14:paraId="2E181EFF" w14:textId="77777777" w:rsidR="00120ED2" w:rsidRPr="001861DD" w:rsidRDefault="0062413C" w:rsidP="00F87772">
      <w:pPr>
        <w:pStyle w:val="Corps"/>
        <w:rPr>
          <w:lang w:val="fr-FR"/>
        </w:rPr>
      </w:pPr>
      <w:r w:rsidRPr="001861DD">
        <w:rPr>
          <w:lang w:val="fr-FR"/>
        </w:rPr>
        <w:t>Service de Cardiologie et Centre de Génétique de l’ULB</w:t>
      </w:r>
    </w:p>
    <w:p w14:paraId="6E69DECC" w14:textId="77777777" w:rsidR="00120ED2" w:rsidRPr="001861DD" w:rsidRDefault="0062413C" w:rsidP="00F87772">
      <w:pPr>
        <w:pStyle w:val="Corps"/>
        <w:rPr>
          <w:lang w:val="fr-FR"/>
        </w:rPr>
      </w:pPr>
      <w:proofErr w:type="spellStart"/>
      <w:r w:rsidRPr="001861DD">
        <w:rPr>
          <w:lang w:val="fr-FR"/>
        </w:rPr>
        <w:t>Hopital</w:t>
      </w:r>
      <w:proofErr w:type="spellEnd"/>
      <w:r w:rsidRPr="001861DD">
        <w:rPr>
          <w:lang w:val="fr-FR"/>
        </w:rPr>
        <w:t xml:space="preserve"> Erasme</w:t>
      </w:r>
    </w:p>
    <w:p w14:paraId="6E9520DB" w14:textId="77777777" w:rsidR="00120ED2" w:rsidRPr="001861DD" w:rsidRDefault="0062413C" w:rsidP="00F87772">
      <w:pPr>
        <w:pStyle w:val="Corps"/>
        <w:rPr>
          <w:lang w:val="fr-FR"/>
        </w:rPr>
      </w:pPr>
      <w:r w:rsidRPr="001861DD">
        <w:rPr>
          <w:lang w:val="fr-FR"/>
        </w:rPr>
        <w:t xml:space="preserve">Route de </w:t>
      </w:r>
      <w:proofErr w:type="spellStart"/>
      <w:r w:rsidRPr="001861DD">
        <w:rPr>
          <w:lang w:val="fr-FR"/>
        </w:rPr>
        <w:t>Lennik</w:t>
      </w:r>
      <w:proofErr w:type="spellEnd"/>
      <w:r w:rsidRPr="001861DD">
        <w:rPr>
          <w:lang w:val="fr-FR"/>
        </w:rPr>
        <w:t>, 808</w:t>
      </w:r>
    </w:p>
    <w:p w14:paraId="6A1A6F5C" w14:textId="77777777" w:rsidR="00120ED2" w:rsidRDefault="0062413C" w:rsidP="00F87772">
      <w:pPr>
        <w:pStyle w:val="Corps"/>
        <w:rPr>
          <w:lang w:val="fr-FR"/>
        </w:rPr>
      </w:pPr>
      <w:r w:rsidRPr="001861DD">
        <w:rPr>
          <w:lang w:val="fr-FR"/>
        </w:rPr>
        <w:t>B-1070 Bruxelles</w:t>
      </w:r>
    </w:p>
    <w:p w14:paraId="5CA12156" w14:textId="77777777" w:rsidR="000F6795" w:rsidRDefault="000F6795" w:rsidP="00F87772">
      <w:pPr>
        <w:pStyle w:val="Corps"/>
        <w:rPr>
          <w:lang w:val="fr-FR"/>
        </w:rPr>
      </w:pPr>
    </w:p>
    <w:p w14:paraId="2C88BA3C" w14:textId="51345B94" w:rsidR="000F6795" w:rsidRPr="00F027FA" w:rsidRDefault="000F6795" w:rsidP="00F87772">
      <w:pPr>
        <w:pStyle w:val="Corps"/>
        <w:rPr>
          <w:b/>
          <w:u w:val="single"/>
          <w:lang w:val="fr-FR"/>
        </w:rPr>
      </w:pPr>
      <w:r w:rsidRPr="00F027FA">
        <w:rPr>
          <w:b/>
          <w:u w:val="single"/>
          <w:lang w:val="fr-FR"/>
        </w:rPr>
        <w:t xml:space="preserve">Références : </w:t>
      </w:r>
    </w:p>
    <w:p w14:paraId="6F8BDE56" w14:textId="77777777" w:rsidR="00EF4E9C" w:rsidRPr="00AE4B77" w:rsidRDefault="000F6795" w:rsidP="00F87772">
      <w:pPr>
        <w:pStyle w:val="Corps"/>
        <w:rPr>
          <w:rFonts w:ascii="Arial" w:hAnsi="Arial" w:cs="Arial"/>
          <w:sz w:val="20"/>
          <w:szCs w:val="20"/>
          <w:lang w:val="fr-FR"/>
        </w:rPr>
      </w:pPr>
      <w:r w:rsidRPr="00AE4B77">
        <w:rPr>
          <w:sz w:val="20"/>
          <w:szCs w:val="20"/>
          <w:lang w:val="fr-FR"/>
        </w:rPr>
        <w:t xml:space="preserve">1- Priori </w:t>
      </w:r>
      <w:r w:rsidR="00EF4E9C" w:rsidRPr="00AE4B77">
        <w:rPr>
          <w:sz w:val="20"/>
          <w:szCs w:val="20"/>
          <w:lang w:val="fr-FR"/>
        </w:rPr>
        <w:t xml:space="preserve">et al. </w:t>
      </w:r>
      <w:proofErr w:type="spellStart"/>
      <w:r w:rsidR="00EF4E9C" w:rsidRPr="00AE4B77">
        <w:rPr>
          <w:sz w:val="20"/>
          <w:szCs w:val="20"/>
          <w:lang w:val="fr-FR"/>
        </w:rPr>
        <w:t>Executive</w:t>
      </w:r>
      <w:proofErr w:type="spellEnd"/>
      <w:r w:rsidR="00EF4E9C" w:rsidRPr="00AE4B77">
        <w:rPr>
          <w:sz w:val="20"/>
          <w:szCs w:val="20"/>
          <w:lang w:val="fr-FR"/>
        </w:rPr>
        <w:t xml:space="preserve"> </w:t>
      </w:r>
      <w:proofErr w:type="spellStart"/>
      <w:r w:rsidR="00EF4E9C" w:rsidRPr="00AE4B77">
        <w:rPr>
          <w:sz w:val="20"/>
          <w:szCs w:val="20"/>
          <w:lang w:val="fr-FR"/>
        </w:rPr>
        <w:t>summary</w:t>
      </w:r>
      <w:proofErr w:type="spellEnd"/>
      <w:r w:rsidR="00EF4E9C" w:rsidRPr="00AE4B77">
        <w:rPr>
          <w:sz w:val="20"/>
          <w:szCs w:val="20"/>
          <w:lang w:val="fr-FR"/>
        </w:rPr>
        <w:t xml:space="preserve">: HRS/EHRA/APHRS expert consensus </w:t>
      </w:r>
      <w:proofErr w:type="spellStart"/>
      <w:r w:rsidR="00EF4E9C" w:rsidRPr="00AE4B77">
        <w:rPr>
          <w:sz w:val="20"/>
          <w:szCs w:val="20"/>
          <w:lang w:val="fr-FR"/>
        </w:rPr>
        <w:t>statement</w:t>
      </w:r>
      <w:proofErr w:type="spellEnd"/>
      <w:r w:rsidR="00EF4E9C" w:rsidRPr="00AE4B77">
        <w:rPr>
          <w:sz w:val="20"/>
          <w:szCs w:val="20"/>
          <w:lang w:val="fr-FR"/>
        </w:rPr>
        <w:t xml:space="preserve"> on the </w:t>
      </w:r>
      <w:proofErr w:type="spellStart"/>
      <w:r w:rsidR="00EF4E9C" w:rsidRPr="00AE4B77">
        <w:rPr>
          <w:sz w:val="20"/>
          <w:szCs w:val="20"/>
          <w:lang w:val="fr-FR"/>
        </w:rPr>
        <w:t>diagnosis</w:t>
      </w:r>
      <w:proofErr w:type="spellEnd"/>
      <w:r w:rsidR="00EF4E9C" w:rsidRPr="00AE4B77">
        <w:rPr>
          <w:sz w:val="20"/>
          <w:szCs w:val="20"/>
          <w:lang w:val="fr-FR"/>
        </w:rPr>
        <w:t xml:space="preserve"> and management of patients </w:t>
      </w:r>
      <w:proofErr w:type="spellStart"/>
      <w:r w:rsidR="00EF4E9C" w:rsidRPr="00AE4B77">
        <w:rPr>
          <w:sz w:val="20"/>
          <w:szCs w:val="20"/>
          <w:lang w:val="fr-FR"/>
        </w:rPr>
        <w:t>with</w:t>
      </w:r>
      <w:proofErr w:type="spellEnd"/>
      <w:r w:rsidR="00EF4E9C" w:rsidRPr="00AE4B77">
        <w:rPr>
          <w:sz w:val="20"/>
          <w:szCs w:val="20"/>
          <w:lang w:val="fr-FR"/>
        </w:rPr>
        <w:t xml:space="preserve"> </w:t>
      </w:r>
      <w:proofErr w:type="spellStart"/>
      <w:r w:rsidR="00EF4E9C" w:rsidRPr="00AE4B77">
        <w:rPr>
          <w:sz w:val="20"/>
          <w:szCs w:val="20"/>
          <w:lang w:val="fr-FR"/>
        </w:rPr>
        <w:t>inherited</w:t>
      </w:r>
      <w:proofErr w:type="spellEnd"/>
      <w:r w:rsidR="00EF4E9C" w:rsidRPr="00AE4B77">
        <w:rPr>
          <w:sz w:val="20"/>
          <w:szCs w:val="20"/>
          <w:lang w:val="fr-FR"/>
        </w:rPr>
        <w:t xml:space="preserve"> </w:t>
      </w:r>
      <w:proofErr w:type="spellStart"/>
      <w:r w:rsidR="00EF4E9C" w:rsidRPr="00AE4B77">
        <w:rPr>
          <w:sz w:val="20"/>
          <w:szCs w:val="20"/>
          <w:lang w:val="fr-FR"/>
        </w:rPr>
        <w:t>primary</w:t>
      </w:r>
      <w:proofErr w:type="spellEnd"/>
      <w:r w:rsidR="00EF4E9C" w:rsidRPr="00AE4B77">
        <w:rPr>
          <w:sz w:val="20"/>
          <w:szCs w:val="20"/>
          <w:lang w:val="fr-FR"/>
        </w:rPr>
        <w:t xml:space="preserve"> </w:t>
      </w:r>
      <w:proofErr w:type="spellStart"/>
      <w:r w:rsidR="00EF4E9C" w:rsidRPr="00AE4B77">
        <w:rPr>
          <w:sz w:val="20"/>
          <w:szCs w:val="20"/>
          <w:lang w:val="fr-FR"/>
        </w:rPr>
        <w:t>arrhythmia</w:t>
      </w:r>
      <w:proofErr w:type="spellEnd"/>
      <w:r w:rsidR="00EF4E9C" w:rsidRPr="00AE4B77">
        <w:rPr>
          <w:sz w:val="20"/>
          <w:szCs w:val="20"/>
          <w:lang w:val="fr-FR"/>
        </w:rPr>
        <w:t xml:space="preserve"> syndromes. </w:t>
      </w:r>
      <w:proofErr w:type="spellStart"/>
      <w:r w:rsidR="00EF4E9C" w:rsidRPr="00AE4B77">
        <w:rPr>
          <w:rFonts w:ascii="Arial" w:hAnsi="Arial" w:cs="Arial"/>
          <w:i/>
          <w:color w:val="262626"/>
          <w:sz w:val="20"/>
          <w:szCs w:val="20"/>
          <w:lang w:val="fr-FR"/>
        </w:rPr>
        <w:t>Europace</w:t>
      </w:r>
      <w:proofErr w:type="spellEnd"/>
      <w:r w:rsidR="00EF4E9C" w:rsidRPr="00AE4B77">
        <w:rPr>
          <w:rFonts w:ascii="Arial" w:hAnsi="Arial" w:cs="Arial"/>
          <w:color w:val="262626"/>
          <w:sz w:val="20"/>
          <w:szCs w:val="20"/>
          <w:lang w:val="fr-FR"/>
        </w:rPr>
        <w:t>.</w:t>
      </w:r>
      <w:r w:rsidR="00EF4E9C" w:rsidRPr="00AE4B77">
        <w:rPr>
          <w:rFonts w:ascii="Arial" w:hAnsi="Arial" w:cs="Arial"/>
          <w:sz w:val="20"/>
          <w:szCs w:val="20"/>
          <w:lang w:val="fr-FR"/>
        </w:rPr>
        <w:t xml:space="preserve"> 2013 Oct;15(10):1389-406. </w:t>
      </w:r>
      <w:proofErr w:type="spellStart"/>
      <w:proofErr w:type="gramStart"/>
      <w:r w:rsidR="00EF4E9C" w:rsidRPr="00AE4B77">
        <w:rPr>
          <w:rFonts w:ascii="Arial" w:hAnsi="Arial" w:cs="Arial"/>
          <w:sz w:val="20"/>
          <w:szCs w:val="20"/>
          <w:lang w:val="fr-FR"/>
        </w:rPr>
        <w:t>doi</w:t>
      </w:r>
      <w:proofErr w:type="spellEnd"/>
      <w:proofErr w:type="gramEnd"/>
      <w:r w:rsidR="00EF4E9C" w:rsidRPr="00AE4B77">
        <w:rPr>
          <w:rFonts w:ascii="Arial" w:hAnsi="Arial" w:cs="Arial"/>
          <w:sz w:val="20"/>
          <w:szCs w:val="20"/>
          <w:lang w:val="fr-FR"/>
        </w:rPr>
        <w:t>: 10.1093/</w:t>
      </w:r>
      <w:proofErr w:type="spellStart"/>
      <w:r w:rsidR="00EF4E9C" w:rsidRPr="00AE4B77">
        <w:rPr>
          <w:rFonts w:ascii="Arial" w:hAnsi="Arial" w:cs="Arial"/>
          <w:sz w:val="20"/>
          <w:szCs w:val="20"/>
          <w:lang w:val="fr-FR"/>
        </w:rPr>
        <w:t>europace</w:t>
      </w:r>
      <w:proofErr w:type="spellEnd"/>
      <w:r w:rsidR="00EF4E9C" w:rsidRPr="00AE4B77">
        <w:rPr>
          <w:rFonts w:ascii="Arial" w:hAnsi="Arial" w:cs="Arial"/>
          <w:sz w:val="20"/>
          <w:szCs w:val="20"/>
          <w:lang w:val="fr-FR"/>
        </w:rPr>
        <w:t>/eut272</w:t>
      </w:r>
    </w:p>
    <w:p w14:paraId="6EA4B54A" w14:textId="271503B7" w:rsidR="000F6795" w:rsidRPr="001F1AE7" w:rsidRDefault="000F6795" w:rsidP="00F87772">
      <w:pPr>
        <w:pStyle w:val="Corps"/>
        <w:rPr>
          <w:sz w:val="20"/>
          <w:szCs w:val="20"/>
          <w:lang w:val="en-US"/>
        </w:rPr>
      </w:pPr>
      <w:r w:rsidRPr="00AE4B77">
        <w:rPr>
          <w:sz w:val="20"/>
          <w:szCs w:val="20"/>
          <w:lang w:val="fr-FR"/>
        </w:rPr>
        <w:t xml:space="preserve">2- </w:t>
      </w:r>
      <w:proofErr w:type="spellStart"/>
      <w:r w:rsidRPr="00AE4B77">
        <w:rPr>
          <w:sz w:val="20"/>
          <w:szCs w:val="20"/>
          <w:lang w:val="fr-FR"/>
        </w:rPr>
        <w:t>Ackerman</w:t>
      </w:r>
      <w:proofErr w:type="spellEnd"/>
      <w:r w:rsidR="00BF1F51" w:rsidRPr="00AE4B77">
        <w:rPr>
          <w:sz w:val="20"/>
          <w:szCs w:val="20"/>
          <w:lang w:val="fr-FR"/>
        </w:rPr>
        <w:t xml:space="preserve"> et al. </w:t>
      </w:r>
      <w:r w:rsidR="00BF1F51" w:rsidRPr="001F1AE7">
        <w:rPr>
          <w:sz w:val="20"/>
          <w:szCs w:val="20"/>
          <w:lang w:val="en-US"/>
        </w:rPr>
        <w:t xml:space="preserve">HRS/EHRA expert consensus statement on the state of genetic testing for the </w:t>
      </w:r>
      <w:proofErr w:type="spellStart"/>
      <w:r w:rsidR="00BF1F51" w:rsidRPr="001F1AE7">
        <w:rPr>
          <w:sz w:val="20"/>
          <w:szCs w:val="20"/>
          <w:lang w:val="en-US"/>
        </w:rPr>
        <w:t>channelopathies</w:t>
      </w:r>
      <w:proofErr w:type="spellEnd"/>
      <w:r w:rsidR="00BF1F51" w:rsidRPr="001F1AE7">
        <w:rPr>
          <w:sz w:val="20"/>
          <w:szCs w:val="20"/>
          <w:lang w:val="en-US"/>
        </w:rPr>
        <w:t xml:space="preserve"> and cardiomyopathies </w:t>
      </w:r>
      <w:proofErr w:type="spellStart"/>
      <w:r w:rsidR="00BF1F51" w:rsidRPr="001F1AE7">
        <w:rPr>
          <w:rFonts w:ascii="Arial" w:hAnsi="Arial" w:cs="Arial"/>
          <w:i/>
          <w:color w:val="262626"/>
          <w:sz w:val="20"/>
          <w:szCs w:val="20"/>
          <w:lang w:val="en-US"/>
        </w:rPr>
        <w:t>Europace</w:t>
      </w:r>
      <w:proofErr w:type="spellEnd"/>
      <w:r w:rsidR="00BF1F51" w:rsidRPr="001F1AE7">
        <w:rPr>
          <w:rFonts w:ascii="Arial" w:hAnsi="Arial" w:cs="Arial"/>
          <w:color w:val="262626"/>
          <w:sz w:val="20"/>
          <w:szCs w:val="20"/>
          <w:lang w:val="en-US"/>
        </w:rPr>
        <w:t>.</w:t>
      </w:r>
      <w:r w:rsidR="00BF1F51" w:rsidRPr="001F1AE7">
        <w:rPr>
          <w:rFonts w:ascii="Arial" w:hAnsi="Arial" w:cs="Arial"/>
          <w:sz w:val="20"/>
          <w:szCs w:val="20"/>
          <w:lang w:val="en-US"/>
        </w:rPr>
        <w:t xml:space="preserve"> 2011 Aug</w:t>
      </w:r>
      <w:proofErr w:type="gramStart"/>
      <w:r w:rsidR="00BF1F51" w:rsidRPr="001F1AE7">
        <w:rPr>
          <w:rFonts w:ascii="Arial" w:hAnsi="Arial" w:cs="Arial"/>
          <w:sz w:val="20"/>
          <w:szCs w:val="20"/>
          <w:lang w:val="en-US"/>
        </w:rPr>
        <w:t>;13</w:t>
      </w:r>
      <w:proofErr w:type="gramEnd"/>
      <w:r w:rsidR="00BF1F51" w:rsidRPr="001F1AE7">
        <w:rPr>
          <w:rFonts w:ascii="Arial" w:hAnsi="Arial" w:cs="Arial"/>
          <w:sz w:val="20"/>
          <w:szCs w:val="20"/>
          <w:lang w:val="en-US"/>
        </w:rPr>
        <w:t xml:space="preserve">(8):1077-109. </w:t>
      </w:r>
      <w:proofErr w:type="spellStart"/>
      <w:proofErr w:type="gramStart"/>
      <w:r w:rsidR="00BF1F51" w:rsidRPr="001F1AE7">
        <w:rPr>
          <w:rFonts w:ascii="Arial" w:hAnsi="Arial" w:cs="Arial"/>
          <w:sz w:val="20"/>
          <w:szCs w:val="20"/>
          <w:lang w:val="en-US"/>
        </w:rPr>
        <w:t>doi</w:t>
      </w:r>
      <w:proofErr w:type="spellEnd"/>
      <w:proofErr w:type="gramEnd"/>
      <w:r w:rsidR="00BF1F51" w:rsidRPr="001F1AE7">
        <w:rPr>
          <w:rFonts w:ascii="Arial" w:hAnsi="Arial" w:cs="Arial"/>
          <w:sz w:val="20"/>
          <w:szCs w:val="20"/>
          <w:lang w:val="en-US"/>
        </w:rPr>
        <w:t>: 10.1093/</w:t>
      </w:r>
      <w:proofErr w:type="spellStart"/>
      <w:r w:rsidR="00BF1F51" w:rsidRPr="001F1AE7">
        <w:rPr>
          <w:rFonts w:ascii="Arial" w:hAnsi="Arial" w:cs="Arial"/>
          <w:sz w:val="20"/>
          <w:szCs w:val="20"/>
          <w:lang w:val="en-US"/>
        </w:rPr>
        <w:t>europace</w:t>
      </w:r>
      <w:proofErr w:type="spellEnd"/>
      <w:r w:rsidR="00BF1F51" w:rsidRPr="001F1AE7">
        <w:rPr>
          <w:rFonts w:ascii="Arial" w:hAnsi="Arial" w:cs="Arial"/>
          <w:sz w:val="20"/>
          <w:szCs w:val="20"/>
          <w:lang w:val="en-US"/>
        </w:rPr>
        <w:t>/eur245</w:t>
      </w:r>
      <w:r w:rsidRPr="001F1AE7">
        <w:rPr>
          <w:sz w:val="20"/>
          <w:szCs w:val="20"/>
          <w:lang w:val="en-US"/>
        </w:rPr>
        <w:t xml:space="preserve"> </w:t>
      </w:r>
    </w:p>
    <w:p w14:paraId="6820E66A" w14:textId="2D0883A4" w:rsidR="000F6795" w:rsidRPr="001F1AE7" w:rsidRDefault="000F6795" w:rsidP="00F87772">
      <w:pPr>
        <w:pStyle w:val="Corps"/>
        <w:rPr>
          <w:sz w:val="20"/>
          <w:szCs w:val="20"/>
          <w:lang w:val="en-US"/>
        </w:rPr>
      </w:pPr>
      <w:r w:rsidRPr="001F1AE7">
        <w:rPr>
          <w:sz w:val="20"/>
          <w:szCs w:val="20"/>
          <w:lang w:val="en-US"/>
        </w:rPr>
        <w:t xml:space="preserve">3- </w:t>
      </w:r>
      <w:r w:rsidR="00BF1F51" w:rsidRPr="001F1AE7">
        <w:rPr>
          <w:sz w:val="20"/>
          <w:szCs w:val="20"/>
          <w:lang w:val="en-US"/>
        </w:rPr>
        <w:t xml:space="preserve">Priori et al. 2015 ESC Guidelines for the management of patients with ventricular arrhythmias and the prevention of sudden cardiac death. </w:t>
      </w:r>
      <w:proofErr w:type="spellStart"/>
      <w:r w:rsidR="00BF1F51" w:rsidRPr="001F1AE7">
        <w:rPr>
          <w:i/>
          <w:sz w:val="20"/>
          <w:szCs w:val="20"/>
          <w:lang w:val="en-US"/>
        </w:rPr>
        <w:t>Eur</w:t>
      </w:r>
      <w:proofErr w:type="spellEnd"/>
      <w:r w:rsidR="00BF1F51" w:rsidRPr="001F1AE7">
        <w:rPr>
          <w:i/>
          <w:sz w:val="20"/>
          <w:szCs w:val="20"/>
          <w:lang w:val="en-US"/>
        </w:rPr>
        <w:t xml:space="preserve"> Heart J</w:t>
      </w:r>
      <w:r w:rsidR="00BF1F51" w:rsidRPr="001F1AE7">
        <w:rPr>
          <w:sz w:val="20"/>
          <w:szCs w:val="20"/>
          <w:lang w:val="en-US"/>
        </w:rPr>
        <w:t>. 2015 Nov 1</w:t>
      </w:r>
      <w:proofErr w:type="gramStart"/>
      <w:r w:rsidR="00BF1F51" w:rsidRPr="001F1AE7">
        <w:rPr>
          <w:sz w:val="20"/>
          <w:szCs w:val="20"/>
          <w:lang w:val="en-US"/>
        </w:rPr>
        <w:t>;36</w:t>
      </w:r>
      <w:proofErr w:type="gramEnd"/>
      <w:r w:rsidR="00BF1F51" w:rsidRPr="001F1AE7">
        <w:rPr>
          <w:sz w:val="20"/>
          <w:szCs w:val="20"/>
          <w:lang w:val="en-US"/>
        </w:rPr>
        <w:t xml:space="preserve">(41):2793-867. </w:t>
      </w:r>
      <w:proofErr w:type="spellStart"/>
      <w:proofErr w:type="gramStart"/>
      <w:r w:rsidR="00BF1F51" w:rsidRPr="001F1AE7">
        <w:rPr>
          <w:sz w:val="20"/>
          <w:szCs w:val="20"/>
          <w:lang w:val="en-US"/>
        </w:rPr>
        <w:t>doi</w:t>
      </w:r>
      <w:proofErr w:type="spellEnd"/>
      <w:proofErr w:type="gramEnd"/>
      <w:r w:rsidR="00BF1F51" w:rsidRPr="001F1AE7">
        <w:rPr>
          <w:sz w:val="20"/>
          <w:szCs w:val="20"/>
          <w:lang w:val="en-US"/>
        </w:rPr>
        <w:t>: 10.1093/</w:t>
      </w:r>
      <w:proofErr w:type="spellStart"/>
      <w:r w:rsidR="00BF1F51" w:rsidRPr="001F1AE7">
        <w:rPr>
          <w:sz w:val="20"/>
          <w:szCs w:val="20"/>
          <w:lang w:val="en-US"/>
        </w:rPr>
        <w:t>eurheartj</w:t>
      </w:r>
      <w:proofErr w:type="spellEnd"/>
      <w:r w:rsidR="00BF1F51" w:rsidRPr="001F1AE7">
        <w:rPr>
          <w:sz w:val="20"/>
          <w:szCs w:val="20"/>
          <w:lang w:val="en-US"/>
        </w:rPr>
        <w:t>/ehv316</w:t>
      </w:r>
    </w:p>
    <w:p w14:paraId="37BF1683" w14:textId="77777777" w:rsidR="00BF1F51" w:rsidRPr="001F1AE7" w:rsidRDefault="000F6795" w:rsidP="00F87772">
      <w:pPr>
        <w:pStyle w:val="Corps"/>
        <w:rPr>
          <w:rFonts w:ascii="Arial" w:hAnsi="Arial" w:cs="Arial"/>
          <w:color w:val="262626"/>
          <w:sz w:val="20"/>
          <w:szCs w:val="20"/>
          <w:lang w:val="en-US"/>
        </w:rPr>
      </w:pPr>
      <w:r w:rsidRPr="001F1AE7">
        <w:rPr>
          <w:sz w:val="20"/>
          <w:szCs w:val="20"/>
          <w:lang w:val="en-US"/>
        </w:rPr>
        <w:t xml:space="preserve">4- </w:t>
      </w:r>
      <w:r w:rsidR="00BF1F51" w:rsidRPr="001F1AE7">
        <w:rPr>
          <w:rFonts w:ascii="Arial" w:hAnsi="Arial" w:cs="Arial"/>
          <w:color w:val="262626"/>
          <w:sz w:val="20"/>
          <w:szCs w:val="20"/>
          <w:lang w:val="en-US"/>
        </w:rPr>
        <w:t xml:space="preserve">Elliott PM et al. 2014 ESC Guidelines on diagnosis and management of hypertrophic cardiomyopathy. </w:t>
      </w:r>
      <w:proofErr w:type="spellStart"/>
      <w:r w:rsidR="00BF1F51" w:rsidRPr="001F1AE7">
        <w:rPr>
          <w:rFonts w:ascii="Arial" w:hAnsi="Arial" w:cs="Arial"/>
          <w:i/>
          <w:color w:val="262626"/>
          <w:sz w:val="20"/>
          <w:szCs w:val="20"/>
          <w:lang w:val="en-US"/>
        </w:rPr>
        <w:t>Eur</w:t>
      </w:r>
      <w:proofErr w:type="spellEnd"/>
      <w:r w:rsidR="00BF1F51" w:rsidRPr="001F1AE7">
        <w:rPr>
          <w:rFonts w:ascii="Arial" w:hAnsi="Arial" w:cs="Arial"/>
          <w:i/>
          <w:color w:val="262626"/>
          <w:sz w:val="20"/>
          <w:szCs w:val="20"/>
          <w:lang w:val="en-US"/>
        </w:rPr>
        <w:t xml:space="preserve"> Heart J</w:t>
      </w:r>
      <w:r w:rsidR="00BF1F51" w:rsidRPr="001F1AE7">
        <w:rPr>
          <w:rFonts w:ascii="Arial" w:hAnsi="Arial" w:cs="Arial"/>
          <w:color w:val="262626"/>
          <w:sz w:val="20"/>
          <w:szCs w:val="20"/>
          <w:lang w:val="en-US"/>
        </w:rPr>
        <w:t>. 2014 Oct 14</w:t>
      </w:r>
      <w:proofErr w:type="gramStart"/>
      <w:r w:rsidR="00BF1F51" w:rsidRPr="001F1AE7">
        <w:rPr>
          <w:rFonts w:ascii="Arial" w:hAnsi="Arial" w:cs="Arial"/>
          <w:color w:val="262626"/>
          <w:sz w:val="20"/>
          <w:szCs w:val="20"/>
          <w:lang w:val="en-US"/>
        </w:rPr>
        <w:t>;35</w:t>
      </w:r>
      <w:proofErr w:type="gramEnd"/>
      <w:r w:rsidR="00BF1F51" w:rsidRPr="001F1AE7">
        <w:rPr>
          <w:rFonts w:ascii="Arial" w:hAnsi="Arial" w:cs="Arial"/>
          <w:color w:val="262626"/>
          <w:sz w:val="20"/>
          <w:szCs w:val="20"/>
          <w:lang w:val="en-US"/>
        </w:rPr>
        <w:t xml:space="preserve">(39):2733-79. </w:t>
      </w:r>
      <w:proofErr w:type="spellStart"/>
      <w:proofErr w:type="gramStart"/>
      <w:r w:rsidR="00BF1F51" w:rsidRPr="001F1AE7">
        <w:rPr>
          <w:rFonts w:ascii="Arial" w:hAnsi="Arial" w:cs="Arial"/>
          <w:color w:val="262626"/>
          <w:sz w:val="20"/>
          <w:szCs w:val="20"/>
          <w:lang w:val="en-US"/>
        </w:rPr>
        <w:t>doi</w:t>
      </w:r>
      <w:proofErr w:type="spellEnd"/>
      <w:proofErr w:type="gramEnd"/>
      <w:r w:rsidR="00BF1F51" w:rsidRPr="001F1AE7">
        <w:rPr>
          <w:rFonts w:ascii="Arial" w:hAnsi="Arial" w:cs="Arial"/>
          <w:color w:val="262626"/>
          <w:sz w:val="20"/>
          <w:szCs w:val="20"/>
          <w:lang w:val="en-US"/>
        </w:rPr>
        <w:t>: 10.1093/</w:t>
      </w:r>
      <w:proofErr w:type="spellStart"/>
      <w:r w:rsidR="00BF1F51" w:rsidRPr="001F1AE7">
        <w:rPr>
          <w:rFonts w:ascii="Arial" w:hAnsi="Arial" w:cs="Arial"/>
          <w:color w:val="262626"/>
          <w:sz w:val="20"/>
          <w:szCs w:val="20"/>
          <w:lang w:val="en-US"/>
        </w:rPr>
        <w:t>eurheartj</w:t>
      </w:r>
      <w:proofErr w:type="spellEnd"/>
      <w:r w:rsidR="00BF1F51" w:rsidRPr="001F1AE7">
        <w:rPr>
          <w:rFonts w:ascii="Arial" w:hAnsi="Arial" w:cs="Arial"/>
          <w:color w:val="262626"/>
          <w:sz w:val="20"/>
          <w:szCs w:val="20"/>
          <w:lang w:val="en-US"/>
        </w:rPr>
        <w:t>/ehu284</w:t>
      </w:r>
    </w:p>
    <w:p w14:paraId="13B3580C" w14:textId="77777777" w:rsidR="001933D8" w:rsidRPr="001F1AE7" w:rsidRDefault="000F6795" w:rsidP="001933D8">
      <w:pPr>
        <w:pStyle w:val="Corps"/>
        <w:rPr>
          <w:sz w:val="20"/>
          <w:szCs w:val="20"/>
          <w:lang w:val="en-US"/>
        </w:rPr>
      </w:pPr>
      <w:r w:rsidRPr="001F1AE7">
        <w:rPr>
          <w:rFonts w:ascii="Arial" w:hAnsi="Arial" w:cs="Arial"/>
          <w:sz w:val="20"/>
          <w:szCs w:val="20"/>
          <w:lang w:val="en-US"/>
        </w:rPr>
        <w:t xml:space="preserve">5- </w:t>
      </w:r>
      <w:hyperlink r:id="rId8" w:history="1">
        <w:proofErr w:type="spellStart"/>
        <w:r w:rsidR="00320688" w:rsidRPr="001F1AE7">
          <w:rPr>
            <w:rFonts w:ascii="Arial" w:hAnsi="Arial" w:cs="Arial"/>
            <w:color w:val="262626"/>
            <w:sz w:val="20"/>
            <w:szCs w:val="20"/>
            <w:lang w:val="en-US"/>
          </w:rPr>
          <w:t>Manolio</w:t>
        </w:r>
        <w:proofErr w:type="spellEnd"/>
        <w:r w:rsidR="00320688" w:rsidRPr="001F1AE7">
          <w:rPr>
            <w:rFonts w:ascii="Arial" w:hAnsi="Arial" w:cs="Arial"/>
            <w:color w:val="262626"/>
            <w:sz w:val="20"/>
            <w:szCs w:val="20"/>
            <w:lang w:val="en-US"/>
          </w:rPr>
          <w:t xml:space="preserve"> TA</w:t>
        </w:r>
      </w:hyperlink>
      <w:r w:rsidR="00320688" w:rsidRPr="001F1AE7">
        <w:rPr>
          <w:rFonts w:ascii="Arial" w:hAnsi="Arial" w:cs="Arial"/>
          <w:sz w:val="20"/>
          <w:szCs w:val="20"/>
          <w:lang w:val="en-US"/>
        </w:rPr>
        <w:t xml:space="preserve"> </w:t>
      </w:r>
      <w:r w:rsidR="00941D88" w:rsidRPr="001F1AE7">
        <w:rPr>
          <w:rFonts w:ascii="Arial" w:hAnsi="Arial" w:cs="Arial"/>
          <w:bCs/>
          <w:sz w:val="20"/>
          <w:szCs w:val="20"/>
          <w:lang w:val="en-US"/>
        </w:rPr>
        <w:t xml:space="preserve">Finding the missing heritability of complex diseases. </w:t>
      </w:r>
      <w:proofErr w:type="gramStart"/>
      <w:r w:rsidR="00941D88" w:rsidRPr="001F1AE7">
        <w:rPr>
          <w:rFonts w:ascii="Arial" w:hAnsi="Arial" w:cs="Arial"/>
          <w:bCs/>
          <w:i/>
          <w:sz w:val="20"/>
          <w:szCs w:val="20"/>
          <w:lang w:val="en-US"/>
        </w:rPr>
        <w:t>Nature</w:t>
      </w:r>
      <w:r w:rsidR="00941D88" w:rsidRPr="001F1AE7">
        <w:rPr>
          <w:rFonts w:ascii="Arial" w:hAnsi="Arial" w:cs="Arial"/>
          <w:bCs/>
          <w:sz w:val="20"/>
          <w:szCs w:val="20"/>
          <w:lang w:val="en-US"/>
        </w:rPr>
        <w:t>.</w:t>
      </w:r>
      <w:proofErr w:type="gramEnd"/>
      <w:r w:rsidR="00941D88" w:rsidRPr="001F1AE7">
        <w:rPr>
          <w:rFonts w:ascii="Arial" w:hAnsi="Arial" w:cs="Arial"/>
          <w:bCs/>
          <w:sz w:val="20"/>
          <w:szCs w:val="20"/>
          <w:lang w:val="en-US"/>
        </w:rPr>
        <w:t xml:space="preserve"> 2009 Oct 8</w:t>
      </w:r>
      <w:proofErr w:type="gramStart"/>
      <w:r w:rsidR="00941D88" w:rsidRPr="001F1AE7">
        <w:rPr>
          <w:rFonts w:ascii="Arial" w:hAnsi="Arial" w:cs="Arial"/>
          <w:bCs/>
          <w:sz w:val="20"/>
          <w:szCs w:val="20"/>
          <w:lang w:val="en-US"/>
        </w:rPr>
        <w:t>;461</w:t>
      </w:r>
      <w:proofErr w:type="gramEnd"/>
      <w:r w:rsidR="00941D88" w:rsidRPr="001F1AE7">
        <w:rPr>
          <w:rFonts w:ascii="Arial" w:hAnsi="Arial" w:cs="Arial"/>
          <w:bCs/>
          <w:sz w:val="20"/>
          <w:szCs w:val="20"/>
          <w:lang w:val="en-US"/>
        </w:rPr>
        <w:t xml:space="preserve">(7265):747-53. </w:t>
      </w:r>
      <w:proofErr w:type="spellStart"/>
      <w:proofErr w:type="gramStart"/>
      <w:r w:rsidR="00941D88" w:rsidRPr="001F1AE7">
        <w:rPr>
          <w:rFonts w:ascii="Arial" w:hAnsi="Arial" w:cs="Arial"/>
          <w:bCs/>
          <w:sz w:val="20"/>
          <w:szCs w:val="20"/>
          <w:lang w:val="en-US"/>
        </w:rPr>
        <w:t>doi</w:t>
      </w:r>
      <w:proofErr w:type="spellEnd"/>
      <w:proofErr w:type="gramEnd"/>
      <w:r w:rsidR="00941D88" w:rsidRPr="001F1AE7">
        <w:rPr>
          <w:rFonts w:ascii="Arial" w:hAnsi="Arial" w:cs="Arial"/>
          <w:bCs/>
          <w:sz w:val="20"/>
          <w:szCs w:val="20"/>
          <w:lang w:val="en-US"/>
        </w:rPr>
        <w:t>: 10.1038/nature08494.</w:t>
      </w:r>
      <w:r w:rsidR="001933D8" w:rsidRPr="001F1AE7">
        <w:rPr>
          <w:sz w:val="20"/>
          <w:szCs w:val="20"/>
          <w:lang w:val="en-US"/>
        </w:rPr>
        <w:t xml:space="preserve"> </w:t>
      </w:r>
    </w:p>
    <w:p w14:paraId="491472DD" w14:textId="0A9BCD2A" w:rsidR="000F6795" w:rsidRPr="001F1AE7" w:rsidRDefault="001933D8" w:rsidP="00F87772">
      <w:pPr>
        <w:pStyle w:val="Corps"/>
        <w:rPr>
          <w:sz w:val="20"/>
          <w:szCs w:val="20"/>
          <w:lang w:val="en-US"/>
        </w:rPr>
      </w:pPr>
      <w:r w:rsidRPr="001F1AE7">
        <w:rPr>
          <w:sz w:val="20"/>
          <w:szCs w:val="20"/>
          <w:lang w:val="en-US"/>
        </w:rPr>
        <w:t xml:space="preserve">6- </w:t>
      </w:r>
      <w:hyperlink r:id="rId9" w:history="1">
        <w:proofErr w:type="spellStart"/>
        <w:r w:rsidRPr="001F1AE7">
          <w:rPr>
            <w:rFonts w:ascii="Arial" w:hAnsi="Arial" w:cs="Arial"/>
            <w:color w:val="262626"/>
            <w:sz w:val="20"/>
            <w:szCs w:val="20"/>
            <w:lang w:val="en-US"/>
          </w:rPr>
          <w:t>Kathiresan</w:t>
        </w:r>
        <w:proofErr w:type="spellEnd"/>
        <w:r w:rsidRPr="001F1AE7">
          <w:rPr>
            <w:rFonts w:ascii="Arial" w:hAnsi="Arial" w:cs="Arial"/>
            <w:color w:val="262626"/>
            <w:sz w:val="20"/>
            <w:szCs w:val="20"/>
            <w:lang w:val="en-US"/>
          </w:rPr>
          <w:t xml:space="preserve"> S</w:t>
        </w:r>
      </w:hyperlink>
      <w:r w:rsidRPr="001F1AE7">
        <w:rPr>
          <w:rFonts w:ascii="Arial" w:hAnsi="Arial" w:cs="Arial"/>
          <w:sz w:val="20"/>
          <w:szCs w:val="20"/>
          <w:lang w:val="en-US"/>
        </w:rPr>
        <w:t xml:space="preserve"> &amp; </w:t>
      </w:r>
      <w:hyperlink r:id="rId10" w:history="1">
        <w:r w:rsidRPr="001F1AE7">
          <w:rPr>
            <w:rFonts w:ascii="Arial" w:hAnsi="Arial" w:cs="Arial"/>
            <w:color w:val="262626"/>
            <w:sz w:val="20"/>
            <w:szCs w:val="20"/>
            <w:lang w:val="en-US"/>
          </w:rPr>
          <w:t>Srivastava D</w:t>
        </w:r>
      </w:hyperlink>
      <w:r w:rsidRPr="001F1AE7">
        <w:rPr>
          <w:rFonts w:ascii="Arial" w:hAnsi="Arial" w:cs="Arial"/>
          <w:sz w:val="20"/>
          <w:szCs w:val="20"/>
          <w:lang w:val="en-US"/>
        </w:rPr>
        <w:t xml:space="preserve">. </w:t>
      </w:r>
      <w:proofErr w:type="gramStart"/>
      <w:r w:rsidRPr="001F1AE7">
        <w:rPr>
          <w:rFonts w:ascii="Arial" w:hAnsi="Arial" w:cs="Arial"/>
          <w:sz w:val="20"/>
          <w:szCs w:val="20"/>
          <w:lang w:val="en-US"/>
        </w:rPr>
        <w:t>Genetics of human cardiovascular disease.</w:t>
      </w:r>
      <w:proofErr w:type="gramEnd"/>
      <w:r w:rsidRPr="001F1AE7">
        <w:rPr>
          <w:rFonts w:ascii="Arial" w:hAnsi="Arial" w:cs="Arial"/>
          <w:sz w:val="20"/>
          <w:szCs w:val="20"/>
          <w:lang w:val="en-US"/>
        </w:rPr>
        <w:t xml:space="preserve"> </w:t>
      </w:r>
      <w:proofErr w:type="gramStart"/>
      <w:r w:rsidRPr="001F1AE7">
        <w:rPr>
          <w:rFonts w:ascii="Arial" w:hAnsi="Arial" w:cs="Arial"/>
          <w:i/>
          <w:sz w:val="20"/>
          <w:szCs w:val="20"/>
          <w:lang w:val="en-US"/>
        </w:rPr>
        <w:t>Cell</w:t>
      </w:r>
      <w:r w:rsidRPr="001F1AE7">
        <w:rPr>
          <w:rFonts w:ascii="Arial" w:hAnsi="Arial" w:cs="Arial"/>
          <w:sz w:val="20"/>
          <w:szCs w:val="20"/>
          <w:lang w:val="en-US"/>
        </w:rPr>
        <w:t>.</w:t>
      </w:r>
      <w:proofErr w:type="gramEnd"/>
      <w:r w:rsidRPr="001F1AE7">
        <w:rPr>
          <w:rFonts w:ascii="Arial" w:hAnsi="Arial" w:cs="Arial"/>
          <w:sz w:val="20"/>
          <w:szCs w:val="20"/>
          <w:lang w:val="en-US"/>
        </w:rPr>
        <w:t xml:space="preserve"> 2012 Mar 16</w:t>
      </w:r>
      <w:proofErr w:type="gramStart"/>
      <w:r w:rsidRPr="001F1AE7">
        <w:rPr>
          <w:rFonts w:ascii="Arial" w:hAnsi="Arial" w:cs="Arial"/>
          <w:sz w:val="20"/>
          <w:szCs w:val="20"/>
          <w:lang w:val="en-US"/>
        </w:rPr>
        <w:t>;148</w:t>
      </w:r>
      <w:proofErr w:type="gramEnd"/>
      <w:r w:rsidRPr="001F1AE7">
        <w:rPr>
          <w:rFonts w:ascii="Arial" w:hAnsi="Arial" w:cs="Arial"/>
          <w:sz w:val="20"/>
          <w:szCs w:val="20"/>
          <w:lang w:val="en-US"/>
        </w:rPr>
        <w:t xml:space="preserve">(6):1242-57. </w:t>
      </w:r>
      <w:proofErr w:type="spellStart"/>
      <w:proofErr w:type="gramStart"/>
      <w:r w:rsidRPr="001F1AE7">
        <w:rPr>
          <w:rFonts w:ascii="Arial" w:hAnsi="Arial" w:cs="Arial"/>
          <w:sz w:val="20"/>
          <w:szCs w:val="20"/>
          <w:lang w:val="en-US"/>
        </w:rPr>
        <w:t>doi</w:t>
      </w:r>
      <w:proofErr w:type="spellEnd"/>
      <w:proofErr w:type="gramEnd"/>
      <w:r w:rsidRPr="001F1AE7">
        <w:rPr>
          <w:rFonts w:ascii="Arial" w:hAnsi="Arial" w:cs="Arial"/>
          <w:sz w:val="20"/>
          <w:szCs w:val="20"/>
          <w:lang w:val="en-US"/>
        </w:rPr>
        <w:t>: 10.1016/j.cell.2012.03.001.</w:t>
      </w:r>
    </w:p>
    <w:p w14:paraId="306843B4" w14:textId="68243352" w:rsidR="000F6795" w:rsidRPr="00941D88" w:rsidRDefault="001933D8" w:rsidP="00F87772">
      <w:pPr>
        <w:pStyle w:val="Corps"/>
        <w:rPr>
          <w:sz w:val="20"/>
          <w:szCs w:val="20"/>
          <w:lang w:val="fr-FR"/>
        </w:rPr>
      </w:pPr>
      <w:r w:rsidRPr="001F1AE7">
        <w:rPr>
          <w:sz w:val="20"/>
          <w:szCs w:val="20"/>
          <w:lang w:val="en-US"/>
        </w:rPr>
        <w:t>7</w:t>
      </w:r>
      <w:r w:rsidR="000F6795" w:rsidRPr="001F1AE7">
        <w:rPr>
          <w:sz w:val="20"/>
          <w:szCs w:val="20"/>
          <w:lang w:val="en-US"/>
        </w:rPr>
        <w:t xml:space="preserve">- </w:t>
      </w:r>
      <w:r w:rsidR="00941D88" w:rsidRPr="001F1AE7">
        <w:rPr>
          <w:rFonts w:ascii="Arial" w:hAnsi="Arial" w:cs="Arial"/>
          <w:color w:val="262626"/>
          <w:sz w:val="20"/>
          <w:szCs w:val="20"/>
          <w:lang w:val="en-US"/>
        </w:rPr>
        <w:t xml:space="preserve">Hershberger RE et al. </w:t>
      </w:r>
      <w:proofErr w:type="gramStart"/>
      <w:r w:rsidR="00941D88" w:rsidRPr="001F1AE7">
        <w:rPr>
          <w:rFonts w:ascii="Arial" w:hAnsi="Arial" w:cs="Arial"/>
          <w:color w:val="262626"/>
          <w:sz w:val="20"/>
          <w:szCs w:val="20"/>
          <w:lang w:val="en-US"/>
        </w:rPr>
        <w:t>Dilated</w:t>
      </w:r>
      <w:proofErr w:type="gramEnd"/>
      <w:r w:rsidR="00941D88" w:rsidRPr="001F1AE7">
        <w:rPr>
          <w:rFonts w:ascii="Arial" w:hAnsi="Arial" w:cs="Arial"/>
          <w:color w:val="262626"/>
          <w:sz w:val="20"/>
          <w:szCs w:val="20"/>
          <w:lang w:val="en-US"/>
        </w:rPr>
        <w:t xml:space="preserve"> cardiomyopathy: the complexity of a diverse genetic architecture.  </w:t>
      </w:r>
      <w:r w:rsidR="00941D88" w:rsidRPr="00941D88">
        <w:rPr>
          <w:rFonts w:ascii="Arial" w:hAnsi="Arial" w:cs="Arial"/>
          <w:i/>
          <w:color w:val="262626"/>
          <w:sz w:val="20"/>
          <w:szCs w:val="20"/>
          <w:lang w:val="fr-FR"/>
        </w:rPr>
        <w:t xml:space="preserve">Nat </w:t>
      </w:r>
      <w:proofErr w:type="spellStart"/>
      <w:r w:rsidR="00941D88" w:rsidRPr="00941D88">
        <w:rPr>
          <w:rFonts w:ascii="Arial" w:hAnsi="Arial" w:cs="Arial"/>
          <w:i/>
          <w:color w:val="262626"/>
          <w:sz w:val="20"/>
          <w:szCs w:val="20"/>
          <w:lang w:val="fr-FR"/>
        </w:rPr>
        <w:t>Rev</w:t>
      </w:r>
      <w:proofErr w:type="spellEnd"/>
      <w:r w:rsidR="00941D88" w:rsidRPr="00941D88">
        <w:rPr>
          <w:rFonts w:ascii="Arial" w:hAnsi="Arial" w:cs="Arial"/>
          <w:i/>
          <w:color w:val="262626"/>
          <w:sz w:val="20"/>
          <w:szCs w:val="20"/>
          <w:lang w:val="fr-FR"/>
        </w:rPr>
        <w:t xml:space="preserve"> </w:t>
      </w:r>
      <w:proofErr w:type="spellStart"/>
      <w:r w:rsidR="00941D88" w:rsidRPr="00941D88">
        <w:rPr>
          <w:rFonts w:ascii="Arial" w:hAnsi="Arial" w:cs="Arial"/>
          <w:i/>
          <w:color w:val="262626"/>
          <w:sz w:val="20"/>
          <w:szCs w:val="20"/>
          <w:lang w:val="fr-FR"/>
        </w:rPr>
        <w:t>Cardiol</w:t>
      </w:r>
      <w:proofErr w:type="spellEnd"/>
      <w:r w:rsidR="00941D88" w:rsidRPr="00941D88">
        <w:rPr>
          <w:rFonts w:ascii="Arial" w:hAnsi="Arial" w:cs="Arial"/>
          <w:color w:val="262626"/>
          <w:sz w:val="20"/>
          <w:szCs w:val="20"/>
          <w:lang w:val="fr-FR"/>
        </w:rPr>
        <w:t>.</w:t>
      </w:r>
      <w:r w:rsidR="00941D88" w:rsidRPr="00941D88">
        <w:rPr>
          <w:rFonts w:ascii="Arial" w:hAnsi="Arial" w:cs="Arial"/>
          <w:sz w:val="20"/>
          <w:szCs w:val="20"/>
          <w:lang w:val="fr-FR"/>
        </w:rPr>
        <w:t xml:space="preserve"> 2013 Sep;10(9):531-47. </w:t>
      </w:r>
      <w:proofErr w:type="spellStart"/>
      <w:proofErr w:type="gramStart"/>
      <w:r w:rsidR="00941D88" w:rsidRPr="00941D88">
        <w:rPr>
          <w:rFonts w:ascii="Arial" w:hAnsi="Arial" w:cs="Arial"/>
          <w:sz w:val="20"/>
          <w:szCs w:val="20"/>
          <w:lang w:val="fr-FR"/>
        </w:rPr>
        <w:t>doi</w:t>
      </w:r>
      <w:proofErr w:type="spellEnd"/>
      <w:proofErr w:type="gramEnd"/>
      <w:r w:rsidR="00941D88" w:rsidRPr="00941D88">
        <w:rPr>
          <w:rFonts w:ascii="Arial" w:hAnsi="Arial" w:cs="Arial"/>
          <w:sz w:val="20"/>
          <w:szCs w:val="20"/>
          <w:lang w:val="fr-FR"/>
        </w:rPr>
        <w:t xml:space="preserve">: 10.1038/nrcardio.2013.105.  </w:t>
      </w:r>
    </w:p>
    <w:p w14:paraId="7BCD5FF7" w14:textId="2B30F1A9" w:rsidR="00F87772" w:rsidRPr="00941D88" w:rsidRDefault="00941D88" w:rsidP="00F87772">
      <w:pPr>
        <w:pStyle w:val="Corps"/>
        <w:rPr>
          <w:sz w:val="20"/>
          <w:szCs w:val="20"/>
          <w:lang w:val="fr-FR"/>
        </w:rPr>
      </w:pPr>
      <w:r w:rsidRPr="00941D88">
        <w:rPr>
          <w:sz w:val="20"/>
          <w:szCs w:val="20"/>
          <w:lang w:val="fr-FR"/>
        </w:rPr>
        <w:t>8</w:t>
      </w:r>
      <w:r w:rsidR="00F87772" w:rsidRPr="00941D88">
        <w:rPr>
          <w:sz w:val="20"/>
          <w:szCs w:val="20"/>
          <w:lang w:val="fr-FR"/>
        </w:rPr>
        <w:t xml:space="preserve">- </w:t>
      </w:r>
      <w:proofErr w:type="spellStart"/>
      <w:r w:rsidRPr="00941D88">
        <w:rPr>
          <w:rFonts w:ascii="Arial" w:hAnsi="Arial" w:cs="Arial"/>
          <w:color w:val="262626"/>
          <w:sz w:val="20"/>
          <w:szCs w:val="20"/>
          <w:lang w:val="fr-FR"/>
        </w:rPr>
        <w:t>Koneru</w:t>
      </w:r>
      <w:proofErr w:type="spellEnd"/>
      <w:r w:rsidRPr="00941D88">
        <w:rPr>
          <w:rFonts w:ascii="Arial" w:hAnsi="Arial" w:cs="Arial"/>
          <w:color w:val="262626"/>
          <w:sz w:val="20"/>
          <w:szCs w:val="20"/>
          <w:lang w:val="fr-FR"/>
        </w:rPr>
        <w:t xml:space="preserve"> JN et al. </w:t>
      </w:r>
      <w:r w:rsidRPr="001F1AE7">
        <w:rPr>
          <w:rFonts w:ascii="Arial" w:hAnsi="Arial" w:cs="Arial"/>
          <w:color w:val="262626"/>
          <w:sz w:val="20"/>
          <w:szCs w:val="20"/>
          <w:lang w:val="en-US"/>
        </w:rPr>
        <w:t xml:space="preserve">Rare forms of </w:t>
      </w:r>
      <w:proofErr w:type="spellStart"/>
      <w:r w:rsidRPr="001F1AE7">
        <w:rPr>
          <w:rFonts w:ascii="Arial" w:hAnsi="Arial" w:cs="Arial"/>
          <w:color w:val="262626"/>
          <w:sz w:val="20"/>
          <w:szCs w:val="20"/>
          <w:lang w:val="en-US"/>
        </w:rPr>
        <w:t>preexcitation</w:t>
      </w:r>
      <w:proofErr w:type="spellEnd"/>
      <w:r w:rsidRPr="001F1AE7">
        <w:rPr>
          <w:rFonts w:ascii="Arial" w:hAnsi="Arial" w:cs="Arial"/>
          <w:color w:val="262626"/>
          <w:sz w:val="20"/>
          <w:szCs w:val="20"/>
          <w:lang w:val="en-US"/>
        </w:rPr>
        <w:t xml:space="preserve">: a case study and brief overview of familial forms of </w:t>
      </w:r>
      <w:proofErr w:type="spellStart"/>
      <w:r w:rsidRPr="001F1AE7">
        <w:rPr>
          <w:rFonts w:ascii="Arial" w:hAnsi="Arial" w:cs="Arial"/>
          <w:color w:val="262626"/>
          <w:sz w:val="20"/>
          <w:szCs w:val="20"/>
          <w:lang w:val="en-US"/>
        </w:rPr>
        <w:t>preexcitation</w:t>
      </w:r>
      <w:proofErr w:type="spellEnd"/>
      <w:r w:rsidRPr="001F1AE7">
        <w:rPr>
          <w:rFonts w:ascii="Arial" w:hAnsi="Arial" w:cs="Arial"/>
          <w:color w:val="262626"/>
          <w:sz w:val="20"/>
          <w:szCs w:val="20"/>
          <w:lang w:val="en-US"/>
        </w:rPr>
        <w:t xml:space="preserve">. </w:t>
      </w:r>
      <w:proofErr w:type="spellStart"/>
      <w:r w:rsidRPr="00941D88">
        <w:rPr>
          <w:rFonts w:ascii="Arial" w:hAnsi="Arial" w:cs="Arial"/>
          <w:i/>
          <w:color w:val="262626"/>
          <w:sz w:val="20"/>
          <w:szCs w:val="20"/>
          <w:lang w:val="fr-FR"/>
        </w:rPr>
        <w:t>Circ</w:t>
      </w:r>
      <w:proofErr w:type="spellEnd"/>
      <w:r w:rsidRPr="00941D88">
        <w:rPr>
          <w:rFonts w:ascii="Arial" w:hAnsi="Arial" w:cs="Arial"/>
          <w:i/>
          <w:color w:val="262626"/>
          <w:sz w:val="20"/>
          <w:szCs w:val="20"/>
          <w:lang w:val="fr-FR"/>
        </w:rPr>
        <w:t xml:space="preserve"> </w:t>
      </w:r>
      <w:proofErr w:type="spellStart"/>
      <w:r w:rsidRPr="00941D88">
        <w:rPr>
          <w:rFonts w:ascii="Arial" w:hAnsi="Arial" w:cs="Arial"/>
          <w:i/>
          <w:color w:val="262626"/>
          <w:sz w:val="20"/>
          <w:szCs w:val="20"/>
          <w:lang w:val="fr-FR"/>
        </w:rPr>
        <w:t>Arrhythm</w:t>
      </w:r>
      <w:proofErr w:type="spellEnd"/>
      <w:r w:rsidRPr="00941D88">
        <w:rPr>
          <w:rFonts w:ascii="Arial" w:hAnsi="Arial" w:cs="Arial"/>
          <w:i/>
          <w:color w:val="262626"/>
          <w:sz w:val="20"/>
          <w:szCs w:val="20"/>
          <w:lang w:val="fr-FR"/>
        </w:rPr>
        <w:t xml:space="preserve"> </w:t>
      </w:r>
      <w:proofErr w:type="spellStart"/>
      <w:r w:rsidRPr="00941D88">
        <w:rPr>
          <w:rFonts w:ascii="Arial" w:hAnsi="Arial" w:cs="Arial"/>
          <w:i/>
          <w:color w:val="262626"/>
          <w:sz w:val="20"/>
          <w:szCs w:val="20"/>
          <w:lang w:val="fr-FR"/>
        </w:rPr>
        <w:t>Electrophysiol</w:t>
      </w:r>
      <w:proofErr w:type="spellEnd"/>
      <w:r w:rsidRPr="00941D88">
        <w:rPr>
          <w:rFonts w:ascii="Arial" w:hAnsi="Arial" w:cs="Arial"/>
          <w:color w:val="262626"/>
          <w:sz w:val="20"/>
          <w:szCs w:val="20"/>
          <w:lang w:val="fr-FR"/>
        </w:rPr>
        <w:t xml:space="preserve">. 2012 </w:t>
      </w:r>
      <w:proofErr w:type="spellStart"/>
      <w:r w:rsidRPr="00941D88">
        <w:rPr>
          <w:rFonts w:ascii="Arial" w:hAnsi="Arial" w:cs="Arial"/>
          <w:color w:val="262626"/>
          <w:sz w:val="20"/>
          <w:szCs w:val="20"/>
          <w:lang w:val="fr-FR"/>
        </w:rPr>
        <w:t>Aug</w:t>
      </w:r>
      <w:proofErr w:type="spellEnd"/>
      <w:r w:rsidRPr="00941D88">
        <w:rPr>
          <w:rFonts w:ascii="Arial" w:hAnsi="Arial" w:cs="Arial"/>
          <w:color w:val="262626"/>
          <w:sz w:val="20"/>
          <w:szCs w:val="20"/>
          <w:lang w:val="fr-FR"/>
        </w:rPr>
        <w:t xml:space="preserve"> 1;5(4):e82-7. </w:t>
      </w:r>
      <w:proofErr w:type="spellStart"/>
      <w:proofErr w:type="gramStart"/>
      <w:r w:rsidRPr="00941D88">
        <w:rPr>
          <w:rFonts w:ascii="Arial" w:hAnsi="Arial" w:cs="Arial"/>
          <w:color w:val="262626"/>
          <w:sz w:val="20"/>
          <w:szCs w:val="20"/>
          <w:lang w:val="fr-FR"/>
        </w:rPr>
        <w:t>doi</w:t>
      </w:r>
      <w:proofErr w:type="spellEnd"/>
      <w:proofErr w:type="gramEnd"/>
      <w:r w:rsidRPr="00941D88">
        <w:rPr>
          <w:rFonts w:ascii="Arial" w:hAnsi="Arial" w:cs="Arial"/>
          <w:color w:val="262626"/>
          <w:sz w:val="20"/>
          <w:szCs w:val="20"/>
          <w:lang w:val="fr-FR"/>
        </w:rPr>
        <w:t>: 10.1161/CIRCEP.111.968917.</w:t>
      </w:r>
    </w:p>
    <w:p w14:paraId="55F5219A" w14:textId="3816F56D" w:rsidR="000F6795" w:rsidRPr="00941D88" w:rsidRDefault="0062413C">
      <w:pPr>
        <w:pStyle w:val="Corps"/>
        <w:rPr>
          <w:rFonts w:ascii="Arial Unicode MS" w:hAnsi="Arial Unicode MS"/>
          <w:sz w:val="20"/>
          <w:szCs w:val="20"/>
          <w:lang w:val="fr-FR"/>
        </w:rPr>
      </w:pPr>
      <w:r w:rsidRPr="00941D88">
        <w:rPr>
          <w:rFonts w:ascii="Arial Unicode MS" w:hAnsi="Arial Unicode MS"/>
          <w:sz w:val="20"/>
          <w:szCs w:val="20"/>
          <w:lang w:val="fr-FR"/>
        </w:rPr>
        <w:br w:type="page"/>
      </w:r>
    </w:p>
    <w:p w14:paraId="1147795A" w14:textId="3926393F" w:rsidR="00120ED2" w:rsidRPr="001861DD" w:rsidRDefault="00F65036">
      <w:pPr>
        <w:pStyle w:val="Corps"/>
        <w:rPr>
          <w:lang w:val="fr-FR"/>
        </w:rPr>
      </w:pPr>
      <w:r w:rsidRPr="001861DD">
        <w:rPr>
          <w:noProof/>
          <w:lang w:val="en-US" w:eastAsia="en-US"/>
        </w:rPr>
        <w:lastRenderedPageBreak/>
        <mc:AlternateContent>
          <mc:Choice Requires="wpg">
            <w:drawing>
              <wp:anchor distT="152400" distB="152400" distL="152400" distR="152400" simplePos="0" relativeHeight="251659264" behindDoc="0" locked="0" layoutInCell="1" allowOverlap="1" wp14:anchorId="7E072FCF" wp14:editId="373C60F1">
                <wp:simplePos x="0" y="0"/>
                <wp:positionH relativeFrom="margin">
                  <wp:posOffset>-114300</wp:posOffset>
                </wp:positionH>
                <wp:positionV relativeFrom="line">
                  <wp:posOffset>4457700</wp:posOffset>
                </wp:positionV>
                <wp:extent cx="6172200" cy="4457700"/>
                <wp:effectExtent l="0" t="0" r="0" b="1270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172200" cy="4457700"/>
                          <a:chOff x="-196374" y="503131"/>
                          <a:chExt cx="7197768" cy="3896607"/>
                        </a:xfrm>
                      </wpg:grpSpPr>
                      <wps:wsp>
                        <wps:cNvPr id="1073741825" name="Shape 1073741825"/>
                        <wps:cNvSpPr/>
                        <wps:spPr>
                          <a:xfrm>
                            <a:off x="-196374" y="503131"/>
                            <a:ext cx="7035164" cy="3540759"/>
                          </a:xfrm>
                          <a:prstGeom prst="rect">
                            <a:avLst/>
                          </a:prstGeom>
                        </wps:spPr>
                        <wps:txbx>
                          <w:txbxContent>
                            <w:tbl>
                              <w:tblPr>
                                <w:tblStyle w:val="TableNormal1"/>
                                <w:tblW w:w="928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EAEA"/>
                                <w:tblLayout w:type="fixed"/>
                                <w:tblLook w:val="04A0" w:firstRow="1" w:lastRow="0" w:firstColumn="1" w:lastColumn="0" w:noHBand="0" w:noVBand="1"/>
                              </w:tblPr>
                              <w:tblGrid>
                                <w:gridCol w:w="1774"/>
                                <w:gridCol w:w="1985"/>
                                <w:gridCol w:w="3969"/>
                                <w:gridCol w:w="1559"/>
                              </w:tblGrid>
                              <w:tr w:rsidR="00001607" w14:paraId="68268E59"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0259FF82" w14:textId="77777777" w:rsidR="00001607" w:rsidRDefault="00001607" w:rsidP="00F87772">
                                    <w:pPr>
                                      <w:jc w:val="center"/>
                                      <w:rPr>
                                        <w:rFonts w:eastAsia="Times New Roman" w:hAnsi="Arial Unicode MS"/>
                                        <w:position w:val="4"/>
                                        <w:sz w:val="26"/>
                                        <w:szCs w:val="26"/>
                                        <w:bdr w:val="none" w:sz="0" w:space="0" w:color="auto"/>
                                        <w:lang w:bidi="x-none"/>
                                      </w:rPr>
                                    </w:pP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1ABDF90" w14:textId="77777777" w:rsidR="00001607" w:rsidRPr="00F87772" w:rsidRDefault="00001607" w:rsidP="00F87772">
                                    <w:pPr>
                                      <w:pStyle w:val="Title"/>
                                      <w:jc w:val="center"/>
                                      <w:rPr>
                                        <w:sz w:val="16"/>
                                        <w:szCs w:val="16"/>
                                        <w:lang w:val="en-US" w:eastAsia="en-US"/>
                                      </w:rPr>
                                    </w:pPr>
                                    <w:r w:rsidRPr="00F87772">
                                      <w:rPr>
                                        <w:sz w:val="16"/>
                                        <w:szCs w:val="16"/>
                                      </w:rPr>
                                      <w:t>Maladie</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9AC8024" w14:textId="77777777" w:rsidR="00001607" w:rsidRPr="00F87772" w:rsidRDefault="00001607" w:rsidP="00F87772">
                                    <w:pPr>
                                      <w:pStyle w:val="Title"/>
                                      <w:jc w:val="center"/>
                                      <w:rPr>
                                        <w:sz w:val="16"/>
                                        <w:szCs w:val="16"/>
                                        <w:lang w:val="en-US" w:eastAsia="en-US"/>
                                      </w:rPr>
                                    </w:pPr>
                                    <w:r w:rsidRPr="00F87772">
                                      <w:rPr>
                                        <w:sz w:val="16"/>
                                        <w:szCs w:val="16"/>
                                      </w:rPr>
                                      <w:t>Principaux gènes (non exhaustif)</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9BCB3F9" w14:textId="2A583BD7" w:rsidR="00001607" w:rsidRPr="00F87772" w:rsidRDefault="00001607" w:rsidP="00F87772">
                                    <w:pPr>
                                      <w:pStyle w:val="Title"/>
                                      <w:jc w:val="center"/>
                                      <w:rPr>
                                        <w:sz w:val="16"/>
                                        <w:szCs w:val="16"/>
                                        <w:lang w:val="en-US" w:eastAsia="en-US"/>
                                      </w:rPr>
                                    </w:pPr>
                                    <w:r w:rsidRPr="00F87772">
                                      <w:rPr>
                                        <w:sz w:val="16"/>
                                        <w:szCs w:val="16"/>
                                      </w:rPr>
                                      <w:t>Taux de succès</w:t>
                                    </w:r>
                                  </w:p>
                                </w:tc>
                              </w:tr>
                              <w:tr w:rsidR="00001607" w14:paraId="2E8D0FBC" w14:textId="77777777" w:rsidTr="00F65036">
                                <w:trPr>
                                  <w:trHeight w:hRule="exact" w:val="662"/>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2A2FD096" w14:textId="77777777" w:rsidR="00001607" w:rsidRDefault="00001607">
                                    <w:pPr>
                                      <w:pStyle w:val="Title"/>
                                    </w:pPr>
                                    <w:r>
                                      <w:rPr>
                                        <w:sz w:val="16"/>
                                        <w:szCs w:val="16"/>
                                      </w:rPr>
                                      <w:t>Channnelopathies</w:t>
                                    </w: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761E5AF" w14:textId="77777777" w:rsidR="00001607" w:rsidRDefault="00001607">
                                    <w:pPr>
                                      <w:pStyle w:val="Corps"/>
                                    </w:pPr>
                                    <w:r>
                                      <w:rPr>
                                        <w:sz w:val="16"/>
                                        <w:szCs w:val="16"/>
                                      </w:rPr>
                                      <w:t>QT long</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1B52039" w14:textId="77777777" w:rsidR="00001607" w:rsidRDefault="00001607">
                                    <w:pPr>
                                      <w:pStyle w:val="Corps"/>
                                    </w:pPr>
                                    <w:r>
                                      <w:rPr>
                                        <w:sz w:val="12"/>
                                        <w:szCs w:val="12"/>
                                      </w:rPr>
                                      <w:t>KCNQ1, KCNH2, SCN5A, ANK2, KCNE1, KCNE2, KCNJ2, CACNAC1C, CAV3</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CA206A5" w14:textId="77777777" w:rsidR="00001607" w:rsidRDefault="00001607">
                                    <w:pPr>
                                      <w:pStyle w:val="Corps"/>
                                      <w:jc w:val="center"/>
                                    </w:pPr>
                                    <w:r>
                                      <w:rPr>
                                        <w:sz w:val="16"/>
                                        <w:szCs w:val="16"/>
                                      </w:rPr>
                                      <w:t>70 %</w:t>
                                    </w:r>
                                  </w:p>
                                </w:tc>
                              </w:tr>
                              <w:tr w:rsidR="00001607" w14:paraId="582D9CE7" w14:textId="77777777" w:rsidTr="00F65036">
                                <w:trPr>
                                  <w:trHeight w:hRule="exact" w:val="616"/>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74A17802"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185E753" w14:textId="77777777" w:rsidR="00001607" w:rsidRDefault="00001607">
                                    <w:pPr>
                                      <w:pStyle w:val="Corps"/>
                                    </w:pPr>
                                    <w:r>
                                      <w:rPr>
                                        <w:sz w:val="16"/>
                                        <w:szCs w:val="16"/>
                                      </w:rPr>
                                      <w:t>Brugada</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9084C12" w14:textId="77777777" w:rsidR="00001607" w:rsidRDefault="00001607">
                                    <w:pPr>
                                      <w:pStyle w:val="Corps"/>
                                    </w:pPr>
                                    <w:r>
                                      <w:rPr>
                                        <w:sz w:val="12"/>
                                        <w:szCs w:val="12"/>
                                      </w:rPr>
                                      <w:t>SCN5A, SCN1B, SCN2B, SCN3B, GPD1L, CACNA1C, CACNB2, CACNA2D1, KCND3, KCNE3, KCNE1L (KCNE5), KCNJ8, HCN4, RANGRF, SLMAP, and TRPM4</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E5B1E31" w14:textId="77777777" w:rsidR="00001607" w:rsidRDefault="00001607">
                                    <w:pPr>
                                      <w:pStyle w:val="Corps"/>
                                      <w:jc w:val="center"/>
                                    </w:pPr>
                                    <w:r>
                                      <w:rPr>
                                        <w:sz w:val="16"/>
                                        <w:szCs w:val="16"/>
                                      </w:rPr>
                                      <w:t>35-40%</w:t>
                                    </w:r>
                                  </w:p>
                                </w:tc>
                              </w:tr>
                              <w:tr w:rsidR="00001607" w14:paraId="61C10362" w14:textId="77777777" w:rsidTr="00F65036">
                                <w:trPr>
                                  <w:trHeight w:hRule="exact" w:val="64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68E931EB"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52CE2B4" w14:textId="77777777" w:rsidR="00001607" w:rsidRDefault="00001607">
                                    <w:pPr>
                                      <w:pStyle w:val="Corps"/>
                                    </w:pPr>
                                    <w:r>
                                      <w:rPr>
                                        <w:sz w:val="16"/>
                                        <w:szCs w:val="16"/>
                                      </w:rPr>
                                      <w:t>CPVT</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6020788" w14:textId="77777777" w:rsidR="00001607" w:rsidRPr="001F1AE7" w:rsidRDefault="00001607">
                                    <w:pPr>
                                      <w:pStyle w:val="Corps"/>
                                      <w:rPr>
                                        <w:lang w:val="en-US"/>
                                      </w:rPr>
                                    </w:pPr>
                                    <w:r w:rsidRPr="001F1AE7">
                                      <w:rPr>
                                        <w:sz w:val="12"/>
                                        <w:szCs w:val="12"/>
                                        <w:lang w:val="en-US"/>
                                      </w:rPr>
                                      <w:t xml:space="preserve">RYR2, CALM1 (AD) </w:t>
                                    </w:r>
                                  </w:p>
                                  <w:p w14:paraId="06E7B4B7" w14:textId="77777777" w:rsidR="00001607" w:rsidRPr="001F1AE7" w:rsidRDefault="00001607">
                                    <w:pPr>
                                      <w:pStyle w:val="Corps"/>
                                      <w:rPr>
                                        <w:lang w:val="en-US"/>
                                      </w:rPr>
                                    </w:pPr>
                                    <w:r w:rsidRPr="001F1AE7">
                                      <w:rPr>
                                        <w:sz w:val="12"/>
                                        <w:szCs w:val="12"/>
                                        <w:lang w:val="en-US"/>
                                      </w:rPr>
                                      <w:t>CASQ2, TRDN (AR)</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20C8ED3" w14:textId="77777777" w:rsidR="00001607" w:rsidRDefault="00001607">
                                    <w:pPr>
                                      <w:pStyle w:val="Corps"/>
                                      <w:jc w:val="center"/>
                                    </w:pPr>
                                    <w:r>
                                      <w:rPr>
                                        <w:sz w:val="16"/>
                                        <w:szCs w:val="16"/>
                                      </w:rPr>
                                      <w:t>60 %</w:t>
                                    </w:r>
                                  </w:p>
                                </w:tc>
                              </w:tr>
                              <w:tr w:rsidR="00001607" w14:paraId="71ADDE77"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44ABBBCA"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B501186" w14:textId="77777777" w:rsidR="00001607" w:rsidRDefault="00001607">
                                    <w:pPr>
                                      <w:pStyle w:val="Corps"/>
                                    </w:pPr>
                                    <w:r>
                                      <w:rPr>
                                        <w:sz w:val="16"/>
                                        <w:szCs w:val="16"/>
                                      </w:rPr>
                                      <w:t>QT court</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19BCECB1" w14:textId="77777777" w:rsidR="00001607" w:rsidRDefault="00001607">
                                    <w:pPr>
                                      <w:pStyle w:val="Corps"/>
                                    </w:pPr>
                                    <w:r>
                                      <w:rPr>
                                        <w:sz w:val="12"/>
                                        <w:szCs w:val="12"/>
                                      </w:rPr>
                                      <w:t>KCNH2, KCNQ1, KCNJ2, CACNA1C, CACNB2b</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FD0FFD0" w14:textId="77777777" w:rsidR="00001607" w:rsidRDefault="00001607">
                                    <w:pPr>
                                      <w:pStyle w:val="Corps"/>
                                      <w:jc w:val="center"/>
                                    </w:pPr>
                                    <w:r>
                                      <w:rPr>
                                        <w:sz w:val="16"/>
                                        <w:szCs w:val="16"/>
                                      </w:rPr>
                                      <w:t>20 %</w:t>
                                    </w:r>
                                  </w:p>
                                </w:tc>
                              </w:tr>
                              <w:tr w:rsidR="00001607" w14:paraId="78E63638"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363C7BA9"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960C2C2" w14:textId="77777777" w:rsidR="00001607" w:rsidRDefault="00001607">
                                    <w:pPr>
                                      <w:pStyle w:val="Corps"/>
                                    </w:pPr>
                                    <w:r>
                                      <w:rPr>
                                        <w:sz w:val="16"/>
                                        <w:szCs w:val="16"/>
                                      </w:rPr>
                                      <w:t>Trouble conduction</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01C6771" w14:textId="77777777" w:rsidR="00001607" w:rsidRDefault="00001607">
                                    <w:pPr>
                                      <w:pStyle w:val="Corps"/>
                                    </w:pPr>
                                    <w:r>
                                      <w:rPr>
                                        <w:sz w:val="12"/>
                                        <w:szCs w:val="12"/>
                                      </w:rPr>
                                      <w:t>SCN5A, TRPM4</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CB92128" w14:textId="77777777" w:rsidR="00001607" w:rsidRDefault="00001607">
                                    <w:pPr>
                                      <w:pStyle w:val="Corps"/>
                                      <w:jc w:val="center"/>
                                    </w:pPr>
                                    <w:r>
                                      <w:rPr>
                                        <w:sz w:val="16"/>
                                        <w:szCs w:val="16"/>
                                      </w:rPr>
                                      <w:t>10-25 %</w:t>
                                    </w:r>
                                  </w:p>
                                </w:tc>
                              </w:tr>
                              <w:tr w:rsidR="00001607" w14:paraId="0B1A0C19"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32BB0C5D" w14:textId="77777777" w:rsidR="00001607" w:rsidRDefault="00001607">
                                    <w:pPr>
                                      <w:pStyle w:val="Title"/>
                                    </w:pPr>
                                    <w:r>
                                      <w:rPr>
                                        <w:sz w:val="16"/>
                                        <w:szCs w:val="16"/>
                                      </w:rPr>
                                      <w:t>Cardiomyopathies</w:t>
                                    </w: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CD615BD" w14:textId="77777777" w:rsidR="00001607" w:rsidRDefault="00001607">
                                    <w:pPr>
                                      <w:pStyle w:val="Corps"/>
                                    </w:pPr>
                                    <w:r>
                                      <w:rPr>
                                        <w:sz w:val="16"/>
                                        <w:szCs w:val="16"/>
                                      </w:rPr>
                                      <w:t>Hypertrophique</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C0CD837" w14:textId="77777777" w:rsidR="00001607" w:rsidRPr="001F1AE7" w:rsidRDefault="00001607">
                                    <w:pPr>
                                      <w:pStyle w:val="Corps"/>
                                      <w:rPr>
                                        <w:lang w:val="en-US"/>
                                      </w:rPr>
                                    </w:pPr>
                                    <w:r w:rsidRPr="001F1AE7">
                                      <w:rPr>
                                        <w:sz w:val="12"/>
                                        <w:szCs w:val="12"/>
                                        <w:lang w:val="en-US"/>
                                      </w:rPr>
                                      <w:t xml:space="preserve">MYBPC3, MYH7, TNNT2, TNNI3, TPM1, MYL3, GAL, </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3CF86AE" w14:textId="77777777" w:rsidR="00001607" w:rsidRDefault="00001607">
                                    <w:pPr>
                                      <w:pStyle w:val="Corps"/>
                                      <w:jc w:val="center"/>
                                    </w:pPr>
                                    <w:r>
                                      <w:rPr>
                                        <w:sz w:val="16"/>
                                        <w:szCs w:val="16"/>
                                      </w:rPr>
                                      <w:t>60-70 %</w:t>
                                    </w:r>
                                  </w:p>
                                </w:tc>
                              </w:tr>
                              <w:tr w:rsidR="00001607" w14:paraId="17285036"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014EE20B"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A4273FF" w14:textId="599169F3" w:rsidR="00001607" w:rsidRDefault="00001607">
                                    <w:pPr>
                                      <w:pStyle w:val="Corps"/>
                                    </w:pPr>
                                    <w:r>
                                      <w:rPr>
                                        <w:sz w:val="16"/>
                                        <w:szCs w:val="16"/>
                                      </w:rPr>
                                      <w:t>Dysplasies</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268D9B9" w14:textId="77777777" w:rsidR="00001607" w:rsidRDefault="00001607">
                                    <w:pPr>
                                      <w:pStyle w:val="Corps"/>
                                    </w:pPr>
                                    <w:r>
                                      <w:rPr>
                                        <w:i/>
                                        <w:iCs/>
                                        <w:sz w:val="12"/>
                                        <w:szCs w:val="12"/>
                                      </w:rPr>
                                      <w:t>DSP</w:t>
                                    </w:r>
                                    <w:r>
                                      <w:rPr>
                                        <w:sz w:val="12"/>
                                        <w:szCs w:val="12"/>
                                      </w:rPr>
                                      <w:t xml:space="preserve">, </w:t>
                                    </w:r>
                                    <w:r>
                                      <w:rPr>
                                        <w:i/>
                                        <w:iCs/>
                                        <w:sz w:val="12"/>
                                        <w:szCs w:val="12"/>
                                      </w:rPr>
                                      <w:t>PKP2</w:t>
                                    </w:r>
                                    <w:r>
                                      <w:rPr>
                                        <w:sz w:val="12"/>
                                        <w:szCs w:val="12"/>
                                      </w:rPr>
                                      <w:t xml:space="preserve">, </w:t>
                                    </w:r>
                                    <w:r>
                                      <w:rPr>
                                        <w:i/>
                                        <w:iCs/>
                                        <w:sz w:val="12"/>
                                        <w:szCs w:val="12"/>
                                        <w:lang w:val="de-DE"/>
                                      </w:rPr>
                                      <w:t>DSG2</w:t>
                                    </w:r>
                                    <w:r>
                                      <w:rPr>
                                        <w:sz w:val="12"/>
                                        <w:szCs w:val="12"/>
                                      </w:rPr>
                                      <w:t xml:space="preserve">, </w:t>
                                    </w:r>
                                    <w:r>
                                      <w:rPr>
                                        <w:i/>
                                        <w:iCs/>
                                        <w:sz w:val="12"/>
                                        <w:szCs w:val="12"/>
                                        <w:lang w:val="de-DE"/>
                                      </w:rPr>
                                      <w:t>DSC2</w:t>
                                    </w:r>
                                    <w:r>
                                      <w:rPr>
                                        <w:sz w:val="12"/>
                                        <w:szCs w:val="12"/>
                                      </w:rPr>
                                      <w:t>,</w:t>
                                    </w:r>
                                    <w:r>
                                      <w:rPr>
                                        <w:sz w:val="12"/>
                                        <w:szCs w:val="12"/>
                                        <w:lang w:val="nl-NL"/>
                                      </w:rPr>
                                      <w:t xml:space="preserve"> </w:t>
                                    </w:r>
                                    <w:r>
                                      <w:rPr>
                                        <w:i/>
                                        <w:iCs/>
                                        <w:sz w:val="12"/>
                                        <w:szCs w:val="12"/>
                                        <w:lang w:val="es-ES_tradnl"/>
                                      </w:rPr>
                                      <w:t>JUP</w:t>
                                    </w:r>
                                    <w:r>
                                      <w:rPr>
                                        <w:sz w:val="12"/>
                                        <w:szCs w:val="12"/>
                                      </w:rPr>
                                      <w:t xml:space="preserve"> </w:t>
                                    </w:r>
                                    <w:r>
                                      <w:rPr>
                                        <w:sz w:val="12"/>
                                        <w:szCs w:val="12"/>
                                        <w:lang w:val="nl-NL"/>
                                      </w:rPr>
                                      <w:t xml:space="preserve">, </w:t>
                                    </w:r>
                                    <w:r w:rsidRPr="001F1AE7">
                                      <w:rPr>
                                        <w:i/>
                                        <w:iCs/>
                                        <w:sz w:val="12"/>
                                        <w:szCs w:val="12"/>
                                      </w:rPr>
                                      <w:t>TGFB3</w:t>
                                    </w:r>
                                    <w:r>
                                      <w:rPr>
                                        <w:sz w:val="12"/>
                                        <w:szCs w:val="12"/>
                                      </w:rPr>
                                      <w:t xml:space="preserve">, </w:t>
                                    </w:r>
                                    <w:r w:rsidRPr="001F1AE7">
                                      <w:rPr>
                                        <w:i/>
                                        <w:iCs/>
                                        <w:sz w:val="12"/>
                                        <w:szCs w:val="12"/>
                                      </w:rPr>
                                      <w:t>RYR2</w:t>
                                    </w:r>
                                    <w:r>
                                      <w:rPr>
                                        <w:sz w:val="12"/>
                                        <w:szCs w:val="12"/>
                                      </w:rPr>
                                      <w:t xml:space="preserve">, </w:t>
                                    </w:r>
                                    <w:r>
                                      <w:rPr>
                                        <w:i/>
                                        <w:iCs/>
                                        <w:sz w:val="12"/>
                                        <w:szCs w:val="12"/>
                                      </w:rPr>
                                      <w:t>TMEM43</w:t>
                                    </w:r>
                                    <w:r>
                                      <w:rPr>
                                        <w:sz w:val="12"/>
                                        <w:szCs w:val="12"/>
                                      </w:rPr>
                                      <w:t>,</w:t>
                                    </w:r>
                                    <w:r>
                                      <w:rPr>
                                        <w:sz w:val="12"/>
                                        <w:szCs w:val="12"/>
                                        <w:lang w:val="nl-N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B757C94" w14:textId="77777777" w:rsidR="00001607" w:rsidRDefault="00001607">
                                    <w:pPr>
                                      <w:pStyle w:val="Corps"/>
                                      <w:jc w:val="center"/>
                                    </w:pPr>
                                    <w:r>
                                      <w:rPr>
                                        <w:sz w:val="16"/>
                                        <w:szCs w:val="16"/>
                                      </w:rPr>
                                      <w:t>50-60 %</w:t>
                                    </w:r>
                                  </w:p>
                                </w:tc>
                              </w:tr>
                              <w:tr w:rsidR="00001607" w14:paraId="008C03CA" w14:textId="77777777" w:rsidTr="00F65036">
                                <w:trPr>
                                  <w:trHeight w:hRule="exact" w:val="562"/>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0099E54A"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AFDE7CE" w14:textId="77777777" w:rsidR="00001607" w:rsidRDefault="00001607">
                                    <w:pPr>
                                      <w:pStyle w:val="Corps"/>
                                    </w:pPr>
                                    <w:r>
                                      <w:rPr>
                                        <w:sz w:val="16"/>
                                        <w:szCs w:val="16"/>
                                      </w:rPr>
                                      <w:t>Dilatées</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69B28BD9" w14:textId="77777777" w:rsidR="00001607" w:rsidRDefault="00001607">
                                    <w:pPr>
                                      <w:pStyle w:val="Corps"/>
                                    </w:pPr>
                                    <w:r>
                                      <w:rPr>
                                        <w:sz w:val="12"/>
                                        <w:szCs w:val="12"/>
                                      </w:rPr>
                                      <w:t>TTN, LMNA/C, MYH7, MYH6, SCN5A, MYBPC3, TNNT2, BAG3, ANKRD1, RBM 20, TMPO</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1ABEA27" w14:textId="77777777" w:rsidR="00001607" w:rsidRDefault="00001607">
                                    <w:pPr>
                                      <w:pStyle w:val="Corps"/>
                                      <w:jc w:val="center"/>
                                    </w:pPr>
                                    <w:r>
                                      <w:rPr>
                                        <w:sz w:val="16"/>
                                        <w:szCs w:val="16"/>
                                      </w:rPr>
                                      <w:t>40-50 %</w:t>
                                    </w:r>
                                  </w:p>
                                </w:tc>
                              </w:tr>
                              <w:tr w:rsidR="00001607" w14:paraId="19E174D3"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1679FBC8"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60BCDF41" w14:textId="77777777" w:rsidR="00001607" w:rsidRDefault="00001607">
                                    <w:pPr>
                                      <w:pStyle w:val="Corps"/>
                                    </w:pPr>
                                    <w:r>
                                      <w:rPr>
                                        <w:sz w:val="16"/>
                                        <w:szCs w:val="16"/>
                                      </w:rPr>
                                      <w:t>Non compaction</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8CD9D69" w14:textId="77777777" w:rsidR="00001607" w:rsidRDefault="00001607">
                                    <w:pPr>
                                      <w:pStyle w:val="Corps"/>
                                    </w:pPr>
                                    <w:r>
                                      <w:rPr>
                                        <w:sz w:val="12"/>
                                        <w:szCs w:val="12"/>
                                      </w:rPr>
                                      <w:t>MYH7, ACTC1, TNNT2, MYBPC3, ZASP (LDB3), TAZ</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131CB0BF" w14:textId="7F874797" w:rsidR="00001607" w:rsidRPr="00913925" w:rsidRDefault="00001607">
                                    <w:pPr>
                                      <w:pStyle w:val="Corps"/>
                                      <w:jc w:val="center"/>
                                      <w:rPr>
                                        <w:sz w:val="16"/>
                                        <w:szCs w:val="16"/>
                                      </w:rPr>
                                    </w:pPr>
                                    <w:r w:rsidRPr="00913925">
                                      <w:rPr>
                                        <w:sz w:val="16"/>
                                        <w:szCs w:val="16"/>
                                      </w:rPr>
                                      <w:t>40 %</w:t>
                                    </w:r>
                                  </w:p>
                                </w:tc>
                              </w:tr>
                              <w:tr w:rsidR="00001607" w14:paraId="70CC1EFE"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794B7693" w14:textId="77777777" w:rsidR="00001607" w:rsidRDefault="00001607">
                                    <w:pPr>
                                      <w:pStyle w:val="Title"/>
                                    </w:pPr>
                                    <w:r>
                                      <w:rPr>
                                        <w:sz w:val="16"/>
                                        <w:szCs w:val="16"/>
                                      </w:rPr>
                                      <w:t>Autres</w:t>
                                    </w: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F10E0E2" w14:textId="77777777" w:rsidR="00001607" w:rsidRDefault="00001607">
                                    <w:pPr>
                                      <w:pStyle w:val="Corps"/>
                                    </w:pPr>
                                    <w:r>
                                      <w:rPr>
                                        <w:sz w:val="16"/>
                                        <w:szCs w:val="16"/>
                                      </w:rPr>
                                      <w:t>Sd de préexcitation</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5902521" w14:textId="240965DC" w:rsidR="00001607" w:rsidRDefault="00001607" w:rsidP="002A3900">
                                    <w:pPr>
                                      <w:pStyle w:val="Corps"/>
                                    </w:pPr>
                                    <w:r>
                                      <w:rPr>
                                        <w:sz w:val="12"/>
                                        <w:szCs w:val="12"/>
                                      </w:rPr>
                                      <w:t>PRKGA2,  GLA (Fabry), AGAL (Pompe), TSC1, TSC2, LAMP2</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5ED3377" w14:textId="03D272CE" w:rsidR="00001607" w:rsidRPr="00913925" w:rsidRDefault="00001607" w:rsidP="00A23615">
                                    <w:pPr>
                                      <w:jc w:val="center"/>
                                      <w:rPr>
                                        <w:sz w:val="16"/>
                                        <w:szCs w:val="16"/>
                                      </w:rPr>
                                    </w:pPr>
                                    <w:r w:rsidRPr="00913925">
                                      <w:rPr>
                                        <w:sz w:val="16"/>
                                        <w:szCs w:val="16"/>
                                      </w:rPr>
                                      <w:t>NA</w:t>
                                    </w:r>
                                  </w:p>
                                </w:tc>
                              </w:tr>
                              <w:tr w:rsidR="00001607" w14:paraId="66898864"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61CDE265"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2731ABA" w14:textId="77777777" w:rsidR="00001607" w:rsidRDefault="00001607">
                                    <w:pPr>
                                      <w:pStyle w:val="Corps"/>
                                    </w:pPr>
                                    <w:r>
                                      <w:rPr>
                                        <w:sz w:val="16"/>
                                        <w:szCs w:val="16"/>
                                      </w:rPr>
                                      <w:t>Maladies de surcharge</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4D529D7" w14:textId="10FBB24C" w:rsidR="00001607" w:rsidRDefault="00001607" w:rsidP="002A3900">
                                    <w:pPr>
                                      <w:pStyle w:val="Corps"/>
                                    </w:pPr>
                                    <w:r>
                                      <w:rPr>
                                        <w:sz w:val="12"/>
                                        <w:szCs w:val="12"/>
                                      </w:rPr>
                                      <w:t>GLA (Fabry),  HFE (hémochromatose), TTR (amyloidose),</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0B2CF89" w14:textId="3B8B018F" w:rsidR="00001607" w:rsidRPr="00913925" w:rsidRDefault="00001607" w:rsidP="00A23615">
                                    <w:pPr>
                                      <w:jc w:val="center"/>
                                      <w:rPr>
                                        <w:sz w:val="16"/>
                                        <w:szCs w:val="16"/>
                                      </w:rPr>
                                    </w:pPr>
                                    <w:r w:rsidRPr="00913925">
                                      <w:rPr>
                                        <w:sz w:val="16"/>
                                        <w:szCs w:val="16"/>
                                      </w:rPr>
                                      <w:t>NA</w:t>
                                    </w:r>
                                  </w:p>
                                </w:tc>
                              </w:tr>
                            </w:tbl>
                            <w:p w14:paraId="45425F23" w14:textId="77777777" w:rsidR="00001607" w:rsidRDefault="00001607"/>
                          </w:txbxContent>
                        </wps:txbx>
                        <wps:bodyPr wrap="square" lIns="0" tIns="0" rIns="0" bIns="0">
                          <a:noAutofit/>
                        </wps:bodyPr>
                      </wps:wsp>
                      <wps:wsp>
                        <wps:cNvPr id="1073741826" name="Shape 1073741826"/>
                        <wps:cNvSpPr/>
                        <wps:spPr>
                          <a:xfrm>
                            <a:off x="0" y="4068939"/>
                            <a:ext cx="7001394" cy="330799"/>
                          </a:xfrm>
                          <a:prstGeom prst="rect">
                            <a:avLst/>
                          </a:prstGeom>
                          <a:noFill/>
                          <a:ln w="12700" cap="flat">
                            <a:noFill/>
                            <a:miter lim="400000"/>
                          </a:ln>
                          <a:effectLst/>
                        </wps:spPr>
                        <wps:txbx>
                          <w:txbxContent>
                            <w:p w14:paraId="60D81B87" w14:textId="0A370D7A" w:rsidR="00001607" w:rsidRDefault="00001607">
                              <w:pPr>
                                <w:pStyle w:val="Corps"/>
                              </w:pPr>
                              <w:r>
                                <w:rPr>
                                  <w:lang w:val="fr-FR"/>
                                </w:rPr>
                                <w:t xml:space="preserve">Table 1 - Principales affections </w:t>
                              </w:r>
                              <w:proofErr w:type="spellStart"/>
                              <w:r>
                                <w:rPr>
                                  <w:lang w:val="fr-FR"/>
                                </w:rPr>
                                <w:t>monogéniques</w:t>
                              </w:r>
                              <w:proofErr w:type="spellEnd"/>
                              <w:r>
                                <w:rPr>
                                  <w:lang w:val="fr-FR"/>
                                </w:rPr>
                                <w:t xml:space="preserve"> en rythmologie</w:t>
                              </w:r>
                              <w:r w:rsidRPr="004470F5">
                                <w:rPr>
                                  <w:vertAlign w:val="superscript"/>
                                  <w:lang w:val="fr-FR"/>
                                </w:rPr>
                                <w:t>1-4, 7-</w:t>
                              </w:r>
                              <w:r>
                                <w:rPr>
                                  <w:vertAlign w:val="superscript"/>
                                  <w:lang w:val="fr-FR"/>
                                </w:rPr>
                                <w:t>8</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9pt;margin-top:351pt;width:486pt;height:351pt;z-index:251659264;mso-wrap-distance-left:12pt;mso-wrap-distance-top:12pt;mso-wrap-distance-right:12pt;mso-wrap-distance-bottom:12pt;mso-position-horizontal-relative:margin;mso-position-vertical-relative:line;mso-width-relative:margin;mso-height-relative:margin" coordorigin="-1963,5031" coordsize="71977,3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">
                <v:rect id="Shape 1073741825" o:spid="_x0000_s1027" style="position:absolute;left:-1963;top:5031;width:70350;height:3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tMMkA&#10;AADjAAAADwAAAGRycy9kb3ducmV2LnhtbERPzWrCQBC+F3yHZQRvdaPWGlNXEa3osdWCehuy0ySY&#10;nQ3Z1cQ+fbcg9Djf/8wWrSnFjWpXWFYw6EcgiFOrC84UfB02zzEI55E1lpZJwZ0cLOadpxkm2jb8&#10;Sbe9z0QIYZeggtz7KpHSpTkZdH1bEQfu29YGfTjrTOoamxBuSjmMoldpsODQkGNFq5zSy/5qFGzj&#10;anna2Z8mK9/P2+PHcbo+TL1SvW67fAPhqfX/4od7p8P8aDKavAzi4Rj+fgoA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pQtMMkAAADjAAAADwAAAAAAAAAAAAAAAACYAgAA&#10;ZHJzL2Rvd25yZXYueG1sUEsFBgAAAAAEAAQA9QAAAI4DAAAAAA==&#10;" filled="f" stroked="f">
                  <v:textbox inset="0,0,0,0">
                    <w:txbxContent>
                      <w:tbl>
                        <w:tblPr>
                          <w:tblStyle w:val="TableNormal1"/>
                          <w:tblW w:w="928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EAEA"/>
                          <w:tblLayout w:type="fixed"/>
                          <w:tblLook w:val="04A0" w:firstRow="1" w:lastRow="0" w:firstColumn="1" w:lastColumn="0" w:noHBand="0" w:noVBand="1"/>
                        </w:tblPr>
                        <w:tblGrid>
                          <w:gridCol w:w="1774"/>
                          <w:gridCol w:w="1985"/>
                          <w:gridCol w:w="3969"/>
                          <w:gridCol w:w="1559"/>
                        </w:tblGrid>
                        <w:tr w:rsidR="00001607" w14:paraId="68268E59"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0259FF82" w14:textId="77777777" w:rsidR="00001607" w:rsidRDefault="00001607" w:rsidP="00F87772">
                              <w:pPr>
                                <w:jc w:val="center"/>
                                <w:rPr>
                                  <w:rFonts w:eastAsia="Times New Roman" w:hAnsi="Arial Unicode MS"/>
                                  <w:position w:val="4"/>
                                  <w:sz w:val="26"/>
                                  <w:szCs w:val="26"/>
                                  <w:bdr w:val="none" w:sz="0" w:space="0" w:color="auto"/>
                                  <w:lang w:bidi="x-none"/>
                                </w:rPr>
                              </w:pP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1ABDF90" w14:textId="77777777" w:rsidR="00001607" w:rsidRPr="00F87772" w:rsidRDefault="00001607" w:rsidP="00F87772">
                              <w:pPr>
                                <w:pStyle w:val="Title"/>
                                <w:jc w:val="center"/>
                                <w:rPr>
                                  <w:sz w:val="16"/>
                                  <w:szCs w:val="16"/>
                                  <w:lang w:val="en-US" w:eastAsia="en-US"/>
                                </w:rPr>
                              </w:pPr>
                              <w:r w:rsidRPr="00F87772">
                                <w:rPr>
                                  <w:sz w:val="16"/>
                                  <w:szCs w:val="16"/>
                                </w:rPr>
                                <w:t>Maladie</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9AC8024" w14:textId="77777777" w:rsidR="00001607" w:rsidRPr="00F87772" w:rsidRDefault="00001607" w:rsidP="00F87772">
                              <w:pPr>
                                <w:pStyle w:val="Title"/>
                                <w:jc w:val="center"/>
                                <w:rPr>
                                  <w:sz w:val="16"/>
                                  <w:szCs w:val="16"/>
                                  <w:lang w:val="en-US" w:eastAsia="en-US"/>
                                </w:rPr>
                              </w:pPr>
                              <w:r w:rsidRPr="00F87772">
                                <w:rPr>
                                  <w:sz w:val="16"/>
                                  <w:szCs w:val="16"/>
                                </w:rPr>
                                <w:t>Principaux gènes (non exhaustif)</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9BCB3F9" w14:textId="2A583BD7" w:rsidR="00001607" w:rsidRPr="00F87772" w:rsidRDefault="00001607" w:rsidP="00F87772">
                              <w:pPr>
                                <w:pStyle w:val="Title"/>
                                <w:jc w:val="center"/>
                                <w:rPr>
                                  <w:sz w:val="16"/>
                                  <w:szCs w:val="16"/>
                                  <w:lang w:val="en-US" w:eastAsia="en-US"/>
                                </w:rPr>
                              </w:pPr>
                              <w:r w:rsidRPr="00F87772">
                                <w:rPr>
                                  <w:sz w:val="16"/>
                                  <w:szCs w:val="16"/>
                                </w:rPr>
                                <w:t>Taux de succès</w:t>
                              </w:r>
                            </w:p>
                          </w:tc>
                        </w:tr>
                        <w:tr w:rsidR="00001607" w14:paraId="2E8D0FBC" w14:textId="77777777" w:rsidTr="00F65036">
                          <w:trPr>
                            <w:trHeight w:hRule="exact" w:val="662"/>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2A2FD096" w14:textId="77777777" w:rsidR="00001607" w:rsidRDefault="00001607">
                              <w:pPr>
                                <w:pStyle w:val="Title"/>
                              </w:pPr>
                              <w:r>
                                <w:rPr>
                                  <w:sz w:val="16"/>
                                  <w:szCs w:val="16"/>
                                </w:rPr>
                                <w:t>Channnelopathies</w:t>
                              </w: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761E5AF" w14:textId="77777777" w:rsidR="00001607" w:rsidRDefault="00001607">
                              <w:pPr>
                                <w:pStyle w:val="Corps"/>
                              </w:pPr>
                              <w:r>
                                <w:rPr>
                                  <w:sz w:val="16"/>
                                  <w:szCs w:val="16"/>
                                </w:rPr>
                                <w:t>QT long</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1B52039" w14:textId="77777777" w:rsidR="00001607" w:rsidRDefault="00001607">
                              <w:pPr>
                                <w:pStyle w:val="Corps"/>
                              </w:pPr>
                              <w:r>
                                <w:rPr>
                                  <w:sz w:val="12"/>
                                  <w:szCs w:val="12"/>
                                </w:rPr>
                                <w:t>KCNQ1, KCNH2, SCN5A, ANK2, KCNE1, KCNE2, KCNJ2, CACNAC1C, CAV3</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CA206A5" w14:textId="77777777" w:rsidR="00001607" w:rsidRDefault="00001607">
                              <w:pPr>
                                <w:pStyle w:val="Corps"/>
                                <w:jc w:val="center"/>
                              </w:pPr>
                              <w:r>
                                <w:rPr>
                                  <w:sz w:val="16"/>
                                  <w:szCs w:val="16"/>
                                </w:rPr>
                                <w:t>70 %</w:t>
                              </w:r>
                            </w:p>
                          </w:tc>
                        </w:tr>
                        <w:tr w:rsidR="00001607" w14:paraId="582D9CE7" w14:textId="77777777" w:rsidTr="00F65036">
                          <w:trPr>
                            <w:trHeight w:hRule="exact" w:val="616"/>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74A17802"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185E753" w14:textId="77777777" w:rsidR="00001607" w:rsidRDefault="00001607">
                              <w:pPr>
                                <w:pStyle w:val="Corps"/>
                              </w:pPr>
                              <w:r>
                                <w:rPr>
                                  <w:sz w:val="16"/>
                                  <w:szCs w:val="16"/>
                                </w:rPr>
                                <w:t>Brugada</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9084C12" w14:textId="77777777" w:rsidR="00001607" w:rsidRDefault="00001607">
                              <w:pPr>
                                <w:pStyle w:val="Corps"/>
                              </w:pPr>
                              <w:r>
                                <w:rPr>
                                  <w:sz w:val="12"/>
                                  <w:szCs w:val="12"/>
                                </w:rPr>
                                <w:t>SCN5A, SCN1B, SCN2B, SCN3B, GPD1L, CACNA1C, CACNB2, CACNA2D1, KCND3, KCNE3, KCNE1L (KCNE5), KCNJ8, HCN4, RANGRF, SLMAP, and TRPM4</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E5B1E31" w14:textId="77777777" w:rsidR="00001607" w:rsidRDefault="00001607">
                              <w:pPr>
                                <w:pStyle w:val="Corps"/>
                                <w:jc w:val="center"/>
                              </w:pPr>
                              <w:r>
                                <w:rPr>
                                  <w:sz w:val="16"/>
                                  <w:szCs w:val="16"/>
                                </w:rPr>
                                <w:t>35-40%</w:t>
                              </w:r>
                            </w:p>
                          </w:tc>
                        </w:tr>
                        <w:tr w:rsidR="00001607" w14:paraId="61C10362" w14:textId="77777777" w:rsidTr="00F65036">
                          <w:trPr>
                            <w:trHeight w:hRule="exact" w:val="64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68E931EB"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52CE2B4" w14:textId="77777777" w:rsidR="00001607" w:rsidRDefault="00001607">
                              <w:pPr>
                                <w:pStyle w:val="Corps"/>
                              </w:pPr>
                              <w:r>
                                <w:rPr>
                                  <w:sz w:val="16"/>
                                  <w:szCs w:val="16"/>
                                </w:rPr>
                                <w:t>CPVT</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6020788" w14:textId="77777777" w:rsidR="00001607" w:rsidRPr="001F1AE7" w:rsidRDefault="00001607">
                              <w:pPr>
                                <w:pStyle w:val="Corps"/>
                                <w:rPr>
                                  <w:lang w:val="en-US"/>
                                </w:rPr>
                              </w:pPr>
                              <w:r w:rsidRPr="001F1AE7">
                                <w:rPr>
                                  <w:sz w:val="12"/>
                                  <w:szCs w:val="12"/>
                                  <w:lang w:val="en-US"/>
                                </w:rPr>
                                <w:t xml:space="preserve">RYR2, CALM1 (AD) </w:t>
                              </w:r>
                            </w:p>
                            <w:p w14:paraId="06E7B4B7" w14:textId="77777777" w:rsidR="00001607" w:rsidRPr="001F1AE7" w:rsidRDefault="00001607">
                              <w:pPr>
                                <w:pStyle w:val="Corps"/>
                                <w:rPr>
                                  <w:lang w:val="en-US"/>
                                </w:rPr>
                              </w:pPr>
                              <w:r w:rsidRPr="001F1AE7">
                                <w:rPr>
                                  <w:sz w:val="12"/>
                                  <w:szCs w:val="12"/>
                                  <w:lang w:val="en-US"/>
                                </w:rPr>
                                <w:t>CASQ2, TRDN (AR)</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20C8ED3" w14:textId="77777777" w:rsidR="00001607" w:rsidRDefault="00001607">
                              <w:pPr>
                                <w:pStyle w:val="Corps"/>
                                <w:jc w:val="center"/>
                              </w:pPr>
                              <w:r>
                                <w:rPr>
                                  <w:sz w:val="16"/>
                                  <w:szCs w:val="16"/>
                                </w:rPr>
                                <w:t>60 %</w:t>
                              </w:r>
                            </w:p>
                          </w:tc>
                        </w:tr>
                        <w:tr w:rsidR="00001607" w14:paraId="71ADDE77"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44ABBBCA"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B501186" w14:textId="77777777" w:rsidR="00001607" w:rsidRDefault="00001607">
                              <w:pPr>
                                <w:pStyle w:val="Corps"/>
                              </w:pPr>
                              <w:r>
                                <w:rPr>
                                  <w:sz w:val="16"/>
                                  <w:szCs w:val="16"/>
                                </w:rPr>
                                <w:t>QT court</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19BCECB1" w14:textId="77777777" w:rsidR="00001607" w:rsidRDefault="00001607">
                              <w:pPr>
                                <w:pStyle w:val="Corps"/>
                              </w:pPr>
                              <w:r>
                                <w:rPr>
                                  <w:sz w:val="12"/>
                                  <w:szCs w:val="12"/>
                                </w:rPr>
                                <w:t>KCNH2, KCNQ1, KCNJ2, CACNA1C, CACNB2b</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FD0FFD0" w14:textId="77777777" w:rsidR="00001607" w:rsidRDefault="00001607">
                              <w:pPr>
                                <w:pStyle w:val="Corps"/>
                                <w:jc w:val="center"/>
                              </w:pPr>
                              <w:r>
                                <w:rPr>
                                  <w:sz w:val="16"/>
                                  <w:szCs w:val="16"/>
                                </w:rPr>
                                <w:t>20 %</w:t>
                              </w:r>
                            </w:p>
                          </w:tc>
                        </w:tr>
                        <w:tr w:rsidR="00001607" w14:paraId="78E63638"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363C7BA9"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960C2C2" w14:textId="77777777" w:rsidR="00001607" w:rsidRDefault="00001607">
                              <w:pPr>
                                <w:pStyle w:val="Corps"/>
                              </w:pPr>
                              <w:r>
                                <w:rPr>
                                  <w:sz w:val="16"/>
                                  <w:szCs w:val="16"/>
                                </w:rPr>
                                <w:t>Trouble conduction</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01C6771" w14:textId="77777777" w:rsidR="00001607" w:rsidRDefault="00001607">
                              <w:pPr>
                                <w:pStyle w:val="Corps"/>
                              </w:pPr>
                              <w:r>
                                <w:rPr>
                                  <w:sz w:val="12"/>
                                  <w:szCs w:val="12"/>
                                </w:rPr>
                                <w:t>SCN5A, TRPM4</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CB92128" w14:textId="77777777" w:rsidR="00001607" w:rsidRDefault="00001607">
                              <w:pPr>
                                <w:pStyle w:val="Corps"/>
                                <w:jc w:val="center"/>
                              </w:pPr>
                              <w:r>
                                <w:rPr>
                                  <w:sz w:val="16"/>
                                  <w:szCs w:val="16"/>
                                </w:rPr>
                                <w:t>10-25 %</w:t>
                              </w:r>
                            </w:p>
                          </w:tc>
                        </w:tr>
                        <w:tr w:rsidR="00001607" w14:paraId="0B1A0C19"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32BB0C5D" w14:textId="77777777" w:rsidR="00001607" w:rsidRDefault="00001607">
                              <w:pPr>
                                <w:pStyle w:val="Title"/>
                              </w:pPr>
                              <w:r>
                                <w:rPr>
                                  <w:sz w:val="16"/>
                                  <w:szCs w:val="16"/>
                                </w:rPr>
                                <w:t>Cardiomyopathies</w:t>
                              </w: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CD615BD" w14:textId="77777777" w:rsidR="00001607" w:rsidRDefault="00001607">
                              <w:pPr>
                                <w:pStyle w:val="Corps"/>
                              </w:pPr>
                              <w:r>
                                <w:rPr>
                                  <w:sz w:val="16"/>
                                  <w:szCs w:val="16"/>
                                </w:rPr>
                                <w:t>Hypertrophique</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C0CD837" w14:textId="77777777" w:rsidR="00001607" w:rsidRPr="001F1AE7" w:rsidRDefault="00001607">
                              <w:pPr>
                                <w:pStyle w:val="Corps"/>
                                <w:rPr>
                                  <w:lang w:val="en-US"/>
                                </w:rPr>
                              </w:pPr>
                              <w:r w:rsidRPr="001F1AE7">
                                <w:rPr>
                                  <w:sz w:val="12"/>
                                  <w:szCs w:val="12"/>
                                  <w:lang w:val="en-US"/>
                                </w:rPr>
                                <w:t xml:space="preserve">MYBPC3, MYH7, TNNT2, TNNI3, TPM1, MYL3, GAL, </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3CF86AE" w14:textId="77777777" w:rsidR="00001607" w:rsidRDefault="00001607">
                              <w:pPr>
                                <w:pStyle w:val="Corps"/>
                                <w:jc w:val="center"/>
                              </w:pPr>
                              <w:r>
                                <w:rPr>
                                  <w:sz w:val="16"/>
                                  <w:szCs w:val="16"/>
                                </w:rPr>
                                <w:t>60-70 %</w:t>
                              </w:r>
                            </w:p>
                          </w:tc>
                        </w:tr>
                        <w:tr w:rsidR="00001607" w14:paraId="17285036"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014EE20B"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A4273FF" w14:textId="599169F3" w:rsidR="00001607" w:rsidRDefault="00001607">
                              <w:pPr>
                                <w:pStyle w:val="Corps"/>
                              </w:pPr>
                              <w:r>
                                <w:rPr>
                                  <w:sz w:val="16"/>
                                  <w:szCs w:val="16"/>
                                </w:rPr>
                                <w:t>Dysplasies</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7268D9B9" w14:textId="77777777" w:rsidR="00001607" w:rsidRDefault="00001607">
                              <w:pPr>
                                <w:pStyle w:val="Corps"/>
                              </w:pPr>
                              <w:r>
                                <w:rPr>
                                  <w:i/>
                                  <w:iCs/>
                                  <w:sz w:val="12"/>
                                  <w:szCs w:val="12"/>
                                </w:rPr>
                                <w:t>DSP</w:t>
                              </w:r>
                              <w:r>
                                <w:rPr>
                                  <w:sz w:val="12"/>
                                  <w:szCs w:val="12"/>
                                </w:rPr>
                                <w:t xml:space="preserve">, </w:t>
                              </w:r>
                              <w:r>
                                <w:rPr>
                                  <w:i/>
                                  <w:iCs/>
                                  <w:sz w:val="12"/>
                                  <w:szCs w:val="12"/>
                                </w:rPr>
                                <w:t>PKP2</w:t>
                              </w:r>
                              <w:r>
                                <w:rPr>
                                  <w:sz w:val="12"/>
                                  <w:szCs w:val="12"/>
                                </w:rPr>
                                <w:t xml:space="preserve">, </w:t>
                              </w:r>
                              <w:r>
                                <w:rPr>
                                  <w:i/>
                                  <w:iCs/>
                                  <w:sz w:val="12"/>
                                  <w:szCs w:val="12"/>
                                  <w:lang w:val="de-DE"/>
                                </w:rPr>
                                <w:t>DSG2</w:t>
                              </w:r>
                              <w:r>
                                <w:rPr>
                                  <w:sz w:val="12"/>
                                  <w:szCs w:val="12"/>
                                </w:rPr>
                                <w:t xml:space="preserve">, </w:t>
                              </w:r>
                              <w:r>
                                <w:rPr>
                                  <w:i/>
                                  <w:iCs/>
                                  <w:sz w:val="12"/>
                                  <w:szCs w:val="12"/>
                                  <w:lang w:val="de-DE"/>
                                </w:rPr>
                                <w:t>DSC2</w:t>
                              </w:r>
                              <w:r>
                                <w:rPr>
                                  <w:sz w:val="12"/>
                                  <w:szCs w:val="12"/>
                                </w:rPr>
                                <w:t>,</w:t>
                              </w:r>
                              <w:r>
                                <w:rPr>
                                  <w:sz w:val="12"/>
                                  <w:szCs w:val="12"/>
                                  <w:lang w:val="nl-NL"/>
                                </w:rPr>
                                <w:t xml:space="preserve"> </w:t>
                              </w:r>
                              <w:r>
                                <w:rPr>
                                  <w:i/>
                                  <w:iCs/>
                                  <w:sz w:val="12"/>
                                  <w:szCs w:val="12"/>
                                  <w:lang w:val="es-ES_tradnl"/>
                                </w:rPr>
                                <w:t>JUP</w:t>
                              </w:r>
                              <w:r>
                                <w:rPr>
                                  <w:sz w:val="12"/>
                                  <w:szCs w:val="12"/>
                                </w:rPr>
                                <w:t xml:space="preserve"> </w:t>
                              </w:r>
                              <w:r>
                                <w:rPr>
                                  <w:sz w:val="12"/>
                                  <w:szCs w:val="12"/>
                                  <w:lang w:val="nl-NL"/>
                                </w:rPr>
                                <w:t xml:space="preserve">, </w:t>
                              </w:r>
                              <w:r w:rsidRPr="001F1AE7">
                                <w:rPr>
                                  <w:i/>
                                  <w:iCs/>
                                  <w:sz w:val="12"/>
                                  <w:szCs w:val="12"/>
                                </w:rPr>
                                <w:t>TGFB3</w:t>
                              </w:r>
                              <w:r>
                                <w:rPr>
                                  <w:sz w:val="12"/>
                                  <w:szCs w:val="12"/>
                                </w:rPr>
                                <w:t xml:space="preserve">, </w:t>
                              </w:r>
                              <w:r w:rsidRPr="001F1AE7">
                                <w:rPr>
                                  <w:i/>
                                  <w:iCs/>
                                  <w:sz w:val="12"/>
                                  <w:szCs w:val="12"/>
                                </w:rPr>
                                <w:t>RYR2</w:t>
                              </w:r>
                              <w:r>
                                <w:rPr>
                                  <w:sz w:val="12"/>
                                  <w:szCs w:val="12"/>
                                </w:rPr>
                                <w:t xml:space="preserve">, </w:t>
                              </w:r>
                              <w:r>
                                <w:rPr>
                                  <w:i/>
                                  <w:iCs/>
                                  <w:sz w:val="12"/>
                                  <w:szCs w:val="12"/>
                                </w:rPr>
                                <w:t>TMEM43</w:t>
                              </w:r>
                              <w:r>
                                <w:rPr>
                                  <w:sz w:val="12"/>
                                  <w:szCs w:val="12"/>
                                </w:rPr>
                                <w:t>,</w:t>
                              </w:r>
                              <w:r>
                                <w:rPr>
                                  <w:sz w:val="12"/>
                                  <w:szCs w:val="12"/>
                                  <w:lang w:val="nl-N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B757C94" w14:textId="77777777" w:rsidR="00001607" w:rsidRDefault="00001607">
                              <w:pPr>
                                <w:pStyle w:val="Corps"/>
                                <w:jc w:val="center"/>
                              </w:pPr>
                              <w:r>
                                <w:rPr>
                                  <w:sz w:val="16"/>
                                  <w:szCs w:val="16"/>
                                </w:rPr>
                                <w:t>50-60 %</w:t>
                              </w:r>
                            </w:p>
                          </w:tc>
                        </w:tr>
                        <w:tr w:rsidR="00001607" w14:paraId="008C03CA" w14:textId="77777777" w:rsidTr="00F65036">
                          <w:trPr>
                            <w:trHeight w:hRule="exact" w:val="562"/>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0099E54A"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AFDE7CE" w14:textId="77777777" w:rsidR="00001607" w:rsidRDefault="00001607">
                              <w:pPr>
                                <w:pStyle w:val="Corps"/>
                              </w:pPr>
                              <w:r>
                                <w:rPr>
                                  <w:sz w:val="16"/>
                                  <w:szCs w:val="16"/>
                                </w:rPr>
                                <w:t>Dilatées</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69B28BD9" w14:textId="77777777" w:rsidR="00001607" w:rsidRDefault="00001607">
                              <w:pPr>
                                <w:pStyle w:val="Corps"/>
                              </w:pPr>
                              <w:r>
                                <w:rPr>
                                  <w:sz w:val="12"/>
                                  <w:szCs w:val="12"/>
                                </w:rPr>
                                <w:t>TTN, LMNA/C, MYH7, MYH6, SCN5A, MYBPC3, TNNT2, BAG3, ANKRD1, RBM 20, TMPO</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1ABEA27" w14:textId="77777777" w:rsidR="00001607" w:rsidRDefault="00001607">
                              <w:pPr>
                                <w:pStyle w:val="Corps"/>
                                <w:jc w:val="center"/>
                              </w:pPr>
                              <w:r>
                                <w:rPr>
                                  <w:sz w:val="16"/>
                                  <w:szCs w:val="16"/>
                                </w:rPr>
                                <w:t>40-50 %</w:t>
                              </w:r>
                            </w:p>
                          </w:tc>
                        </w:tr>
                        <w:tr w:rsidR="00001607" w14:paraId="19E174D3"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1679FBC8"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60BCDF41" w14:textId="77777777" w:rsidR="00001607" w:rsidRDefault="00001607">
                              <w:pPr>
                                <w:pStyle w:val="Corps"/>
                              </w:pPr>
                              <w:r>
                                <w:rPr>
                                  <w:sz w:val="16"/>
                                  <w:szCs w:val="16"/>
                                </w:rPr>
                                <w:t>Non compaction</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8CD9D69" w14:textId="77777777" w:rsidR="00001607" w:rsidRDefault="00001607">
                              <w:pPr>
                                <w:pStyle w:val="Corps"/>
                              </w:pPr>
                              <w:r>
                                <w:rPr>
                                  <w:sz w:val="12"/>
                                  <w:szCs w:val="12"/>
                                </w:rPr>
                                <w:t>MYH7, ACTC1, TNNT2, MYBPC3, ZASP (LDB3), TAZ</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131CB0BF" w14:textId="7F874797" w:rsidR="00001607" w:rsidRPr="00913925" w:rsidRDefault="00001607">
                              <w:pPr>
                                <w:pStyle w:val="Corps"/>
                                <w:jc w:val="center"/>
                                <w:rPr>
                                  <w:sz w:val="16"/>
                                  <w:szCs w:val="16"/>
                                </w:rPr>
                              </w:pPr>
                              <w:r w:rsidRPr="00913925">
                                <w:rPr>
                                  <w:sz w:val="16"/>
                                  <w:szCs w:val="16"/>
                                </w:rPr>
                                <w:t>40 %</w:t>
                              </w:r>
                            </w:p>
                          </w:tc>
                        </w:tr>
                        <w:tr w:rsidR="00001607" w14:paraId="70CC1EFE"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794B7693" w14:textId="77777777" w:rsidR="00001607" w:rsidRDefault="00001607">
                              <w:pPr>
                                <w:pStyle w:val="Title"/>
                              </w:pPr>
                              <w:r>
                                <w:rPr>
                                  <w:sz w:val="16"/>
                                  <w:szCs w:val="16"/>
                                </w:rPr>
                                <w:t>Autres</w:t>
                              </w:r>
                            </w:p>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5F10E0E2" w14:textId="77777777" w:rsidR="00001607" w:rsidRDefault="00001607">
                              <w:pPr>
                                <w:pStyle w:val="Corps"/>
                              </w:pPr>
                              <w:r>
                                <w:rPr>
                                  <w:sz w:val="16"/>
                                  <w:szCs w:val="16"/>
                                </w:rPr>
                                <w:t>Sd de préexcitation</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5902521" w14:textId="240965DC" w:rsidR="00001607" w:rsidRDefault="00001607" w:rsidP="002A3900">
                              <w:pPr>
                                <w:pStyle w:val="Corps"/>
                              </w:pPr>
                              <w:r>
                                <w:rPr>
                                  <w:sz w:val="12"/>
                                  <w:szCs w:val="12"/>
                                </w:rPr>
                                <w:t>PRKGA2,  GLA (Fabry), AGAL (Pompe), TSC1, TSC2, LAMP2</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5ED3377" w14:textId="03D272CE" w:rsidR="00001607" w:rsidRPr="00913925" w:rsidRDefault="00001607" w:rsidP="00A23615">
                              <w:pPr>
                                <w:jc w:val="center"/>
                                <w:rPr>
                                  <w:sz w:val="16"/>
                                  <w:szCs w:val="16"/>
                                </w:rPr>
                              </w:pPr>
                              <w:r w:rsidRPr="00913925">
                                <w:rPr>
                                  <w:sz w:val="16"/>
                                  <w:szCs w:val="16"/>
                                </w:rPr>
                                <w:t>NA</w:t>
                              </w:r>
                            </w:p>
                          </w:tc>
                        </w:tr>
                        <w:tr w:rsidR="00001607" w14:paraId="66898864" w14:textId="77777777" w:rsidTr="00F65036">
                          <w:trPr>
                            <w:trHeight w:hRule="exact" w:val="360"/>
                          </w:trPr>
                          <w:tc>
                            <w:tcPr>
                              <w:tcW w:w="1774" w:type="dxa"/>
                              <w:tcBorders>
                                <w:top w:val="single" w:sz="8" w:space="0" w:color="000000"/>
                                <w:left w:val="single" w:sz="8" w:space="0" w:color="000000"/>
                                <w:bottom w:val="single" w:sz="8" w:space="0" w:color="000000"/>
                                <w:right w:val="single" w:sz="8" w:space="0" w:color="000000"/>
                              </w:tcBorders>
                              <w:shd w:val="clear" w:color="auto" w:fill="5D768F"/>
                              <w:tcMar>
                                <w:top w:w="80" w:type="dxa"/>
                                <w:left w:w="80" w:type="dxa"/>
                                <w:bottom w:w="80" w:type="dxa"/>
                                <w:right w:w="80" w:type="dxa"/>
                              </w:tcMar>
                              <w:vAlign w:val="center"/>
                            </w:tcPr>
                            <w:p w14:paraId="61CDE265" w14:textId="77777777" w:rsidR="00001607" w:rsidRDefault="00001607"/>
                          </w:tc>
                          <w:tc>
                            <w:tcPr>
                              <w:tcW w:w="1985"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32731ABA" w14:textId="77777777" w:rsidR="00001607" w:rsidRDefault="00001607">
                              <w:pPr>
                                <w:pStyle w:val="Corps"/>
                              </w:pPr>
                              <w:r>
                                <w:rPr>
                                  <w:sz w:val="16"/>
                                  <w:szCs w:val="16"/>
                                </w:rPr>
                                <w:t>Maladies de surcharge</w:t>
                              </w:r>
                            </w:p>
                          </w:tc>
                          <w:tc>
                            <w:tcPr>
                              <w:tcW w:w="396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4D529D7" w14:textId="10FBB24C" w:rsidR="00001607" w:rsidRDefault="00001607" w:rsidP="002A3900">
                              <w:pPr>
                                <w:pStyle w:val="Corps"/>
                              </w:pPr>
                              <w:r>
                                <w:rPr>
                                  <w:sz w:val="12"/>
                                  <w:szCs w:val="12"/>
                                </w:rPr>
                                <w:t>GLA (Fabry),  HFE (hémochromatose), TTR (amyloidose),</w:t>
                              </w:r>
                            </w:p>
                          </w:tc>
                          <w:tc>
                            <w:tcPr>
                              <w:tcW w:w="1559"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00B2CF89" w14:textId="3B8B018F" w:rsidR="00001607" w:rsidRPr="00913925" w:rsidRDefault="00001607" w:rsidP="00A23615">
                              <w:pPr>
                                <w:jc w:val="center"/>
                                <w:rPr>
                                  <w:sz w:val="16"/>
                                  <w:szCs w:val="16"/>
                                </w:rPr>
                              </w:pPr>
                              <w:r w:rsidRPr="00913925">
                                <w:rPr>
                                  <w:sz w:val="16"/>
                                  <w:szCs w:val="16"/>
                                </w:rPr>
                                <w:t>NA</w:t>
                              </w:r>
                            </w:p>
                          </w:tc>
                        </w:tr>
                      </w:tbl>
                      <w:p w14:paraId="45425F23" w14:textId="77777777" w:rsidR="00001607" w:rsidRDefault="00001607"/>
                    </w:txbxContent>
                  </v:textbox>
                </v:rect>
                <v:rect id="Shape 1073741826" o:spid="_x0000_s1028" style="position:absolute;top:40689;width:70013;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spMcA&#10;AADjAAAADwAAAGRycy9kb3ducmV2LnhtbERPzYrCMBC+C75DGGEvsqb+ValGWboKXtfdBxiasa02&#10;k24Ttfr0RhA8zvc/y3VrKnGhxpWWFQwHEQjizOqScwV/v9vPOQjnkTVWlknBjRysV93OEhNtr/xD&#10;l73PRQhhl6CCwvs6kdJlBRl0A1sTB+5gG4M+nE0udYPXEG4qOYqiWBosOTQUWFNaUHban42CXXY+&#10;ft+n/xOO+/f4tEm302NaKfXRa78WIDy1/i1+uXc6zI9m49lkOB/F8PwpAC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LKTHAAAA4wAAAA8AAAAAAAAAAAAAAAAAmAIAAGRy&#10;cy9kb3ducmV2LnhtbFBLBQYAAAAABAAEAPUAAACMAwAAAAA=&#10;" filled="f" stroked="f" strokeweight="1pt">
                  <v:stroke miterlimit="4"/>
                  <v:textbox inset="4pt,4pt,4pt,4pt">
                    <w:txbxContent>
                      <w:p w14:paraId="60D81B87" w14:textId="0A370D7A" w:rsidR="00001607" w:rsidRDefault="00001607">
                        <w:pPr>
                          <w:pStyle w:val="Corps"/>
                        </w:pPr>
                        <w:r>
                          <w:rPr>
                            <w:lang w:val="fr-FR"/>
                          </w:rPr>
                          <w:t xml:space="preserve">Table 1 - Principales affections </w:t>
                        </w:r>
                        <w:proofErr w:type="spellStart"/>
                        <w:r>
                          <w:rPr>
                            <w:lang w:val="fr-FR"/>
                          </w:rPr>
                          <w:t>monogéniques</w:t>
                        </w:r>
                        <w:proofErr w:type="spellEnd"/>
                        <w:r>
                          <w:rPr>
                            <w:lang w:val="fr-FR"/>
                          </w:rPr>
                          <w:t xml:space="preserve"> en rythmologie</w:t>
                        </w:r>
                        <w:r w:rsidRPr="004470F5">
                          <w:rPr>
                            <w:vertAlign w:val="superscript"/>
                            <w:lang w:val="fr-FR"/>
                          </w:rPr>
                          <w:t>1-4, 7-</w:t>
                        </w:r>
                        <w:r>
                          <w:rPr>
                            <w:vertAlign w:val="superscript"/>
                            <w:lang w:val="fr-FR"/>
                          </w:rPr>
                          <w:t>8</w:t>
                        </w:r>
                      </w:p>
                    </w:txbxContent>
                  </v:textbox>
                </v:rect>
                <w10:wrap type="topAndBottom" anchorx="margin" anchory="line"/>
              </v:group>
            </w:pict>
          </mc:Fallback>
        </mc:AlternateContent>
      </w:r>
      <w:r w:rsidR="00F027FA" w:rsidRPr="001861DD">
        <w:rPr>
          <w:noProof/>
          <w:lang w:val="en-US" w:eastAsia="en-US"/>
        </w:rPr>
        <mc:AlternateContent>
          <mc:Choice Requires="wpg">
            <w:drawing>
              <wp:anchor distT="152400" distB="152400" distL="152400" distR="152400" simplePos="0" relativeHeight="251660288" behindDoc="0" locked="0" layoutInCell="1" allowOverlap="1" wp14:anchorId="52C4F4E5" wp14:editId="0A6EF5EA">
                <wp:simplePos x="0" y="0"/>
                <wp:positionH relativeFrom="page">
                  <wp:posOffset>948690</wp:posOffset>
                </wp:positionH>
                <wp:positionV relativeFrom="page">
                  <wp:posOffset>148590</wp:posOffset>
                </wp:positionV>
                <wp:extent cx="5372735" cy="4686300"/>
                <wp:effectExtent l="50800" t="50800" r="139065" b="12700"/>
                <wp:wrapTopAndBottom distT="152400" distB="152400"/>
                <wp:docPr id="1073741838" name="officeArt object"/>
                <wp:cNvGraphicFramePr/>
                <a:graphic xmlns:a="http://schemas.openxmlformats.org/drawingml/2006/main">
                  <a:graphicData uri="http://schemas.microsoft.com/office/word/2010/wordprocessingGroup">
                    <wpg:wgp>
                      <wpg:cNvGrpSpPr/>
                      <wpg:grpSpPr>
                        <a:xfrm>
                          <a:off x="0" y="0"/>
                          <a:ext cx="5372735" cy="4686300"/>
                          <a:chOff x="0" y="0"/>
                          <a:chExt cx="6120057" cy="5127799"/>
                        </a:xfrm>
                      </wpg:grpSpPr>
                      <wps:wsp>
                        <wps:cNvPr id="1073741828" name="Shape 1073741828"/>
                        <wps:cNvCnPr/>
                        <wps:spPr>
                          <a:xfrm flipV="1">
                            <a:off x="757162" y="0"/>
                            <a:ext cx="1" cy="3865219"/>
                          </a:xfrm>
                          <a:prstGeom prst="line">
                            <a:avLst/>
                          </a:prstGeom>
                          <a:noFill/>
                          <a:ln w="25400" cap="flat">
                            <a:solidFill>
                              <a:srgbClr val="000000"/>
                            </a:solidFill>
                            <a:prstDash val="solid"/>
                            <a:miter lim="400000"/>
                            <a:tailEnd type="triangle" w="med" len="med"/>
                          </a:ln>
                          <a:effectLst/>
                        </wps:spPr>
                        <wps:bodyPr/>
                      </wps:wsp>
                      <wps:wsp>
                        <wps:cNvPr id="1073741829" name="Shape 1073741829"/>
                        <wps:cNvCnPr/>
                        <wps:spPr>
                          <a:xfrm>
                            <a:off x="757162" y="3854445"/>
                            <a:ext cx="5362894" cy="1"/>
                          </a:xfrm>
                          <a:prstGeom prst="line">
                            <a:avLst/>
                          </a:prstGeom>
                          <a:noFill/>
                          <a:ln w="25400" cap="flat">
                            <a:solidFill>
                              <a:srgbClr val="000000"/>
                            </a:solidFill>
                            <a:prstDash val="solid"/>
                            <a:miter lim="400000"/>
                            <a:tailEnd type="triangle" w="med" len="med"/>
                          </a:ln>
                          <a:effectLst/>
                        </wps:spPr>
                        <wps:bodyPr/>
                      </wps:wsp>
                      <wps:wsp>
                        <wps:cNvPr id="1073741830" name="Shape 1073741830"/>
                        <wps:cNvSpPr/>
                        <wps:spPr>
                          <a:xfrm>
                            <a:off x="757162" y="4177662"/>
                            <a:ext cx="5362894" cy="323219"/>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0"/>
                                </a:lnTo>
                                <a:lnTo>
                                  <a:pt x="0" y="0"/>
                                </a:lnTo>
                                <a:close/>
                              </a:path>
                            </a:pathLst>
                          </a:custGeom>
                          <a:solidFill>
                            <a:srgbClr val="A6AAA9"/>
                          </a:solidFill>
                          <a:ln w="12700" cap="flat">
                            <a:noFill/>
                            <a:miter lim="400000"/>
                          </a:ln>
                          <a:effectLst>
                            <a:outerShdw blurRad="38100" dist="25400" dir="5400000" rotWithShape="0">
                              <a:srgbClr val="000000">
                                <a:alpha val="50000"/>
                              </a:srgbClr>
                            </a:outerShdw>
                          </a:effectLst>
                        </wps:spPr>
                        <wps:bodyPr/>
                      </wps:wsp>
                      <wps:wsp>
                        <wps:cNvPr id="1073741831" name="Shape 1073741831"/>
                        <wps:cNvSpPr/>
                        <wps:spPr>
                          <a:xfrm>
                            <a:off x="0" y="23483"/>
                            <a:ext cx="317966" cy="386522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0"/>
                                </a:lnTo>
                                <a:lnTo>
                                  <a:pt x="0" y="0"/>
                                </a:lnTo>
                                <a:close/>
                              </a:path>
                            </a:pathLst>
                          </a:custGeom>
                          <a:solidFill>
                            <a:srgbClr val="A6AAA9"/>
                          </a:solidFill>
                          <a:ln w="12700" cap="flat">
                            <a:noFill/>
                            <a:miter lim="400000"/>
                          </a:ln>
                          <a:effectLst>
                            <a:outerShdw blurRad="38100" dist="25400" dir="5400000" rotWithShape="0">
                              <a:srgbClr val="000000">
                                <a:alpha val="50000"/>
                              </a:srgbClr>
                            </a:outerShdw>
                          </a:effectLst>
                        </wps:spPr>
                        <wps:bodyPr/>
                      </wps:wsp>
                      <wps:wsp>
                        <wps:cNvPr id="1073741832" name="Shape 1073741832"/>
                        <wps:cNvSpPr/>
                        <wps:spPr>
                          <a:xfrm>
                            <a:off x="3588176" y="1657499"/>
                            <a:ext cx="1713053" cy="1713054"/>
                          </a:xfrm>
                          <a:prstGeom prst="ellipse">
                            <a:avLst/>
                          </a:prstGeom>
                          <a:solidFill>
                            <a:srgbClr val="A6AAA9"/>
                          </a:solidFill>
                          <a:ln w="12700" cap="flat">
                            <a:noFill/>
                            <a:miter lim="400000"/>
                          </a:ln>
                          <a:effectLst>
                            <a:outerShdw blurRad="38100" dist="25400" dir="5400000" rotWithShape="0">
                              <a:srgbClr val="000000">
                                <a:alpha val="50000"/>
                              </a:srgbClr>
                            </a:outerShdw>
                          </a:effectLst>
                        </wps:spPr>
                        <wps:txbx>
                          <w:txbxContent>
                            <w:p w14:paraId="19BE872A" w14:textId="77777777" w:rsidR="00001607" w:rsidRPr="00F027FA" w:rsidRDefault="00001607">
                              <w:pPr>
                                <w:pStyle w:val="tiquette"/>
                                <w:keepLines/>
                                <w:tabs>
                                  <w:tab w:val="left" w:pos="920"/>
                                  <w:tab w:val="left" w:pos="1840"/>
                                </w:tabs>
                                <w:rPr>
                                  <w:b/>
                                  <w:bCs/>
                                  <w:sz w:val="28"/>
                                  <w:szCs w:val="28"/>
                                </w:rPr>
                              </w:pPr>
                              <w:r w:rsidRPr="00F027FA">
                                <w:rPr>
                                  <w:b/>
                                  <w:bCs/>
                                  <w:sz w:val="28"/>
                                  <w:szCs w:val="28"/>
                                </w:rPr>
                                <w:t>Communs</w:t>
                              </w:r>
                            </w:p>
                            <w:p w14:paraId="3D5415A6" w14:textId="77777777" w:rsidR="00001607" w:rsidRPr="00F027FA" w:rsidRDefault="00001607">
                              <w:pPr>
                                <w:pStyle w:val="tiquette"/>
                                <w:keepLines/>
                                <w:tabs>
                                  <w:tab w:val="left" w:pos="920"/>
                                  <w:tab w:val="left" w:pos="1840"/>
                                </w:tabs>
                                <w:rPr>
                                  <w:sz w:val="28"/>
                                  <w:szCs w:val="28"/>
                                </w:rPr>
                              </w:pPr>
                              <w:r w:rsidRPr="00F027FA">
                                <w:rPr>
                                  <w:b/>
                                  <w:bCs/>
                                  <w:sz w:val="28"/>
                                  <w:szCs w:val="28"/>
                                </w:rPr>
                                <w:t>&gt; 1/20</w:t>
                              </w:r>
                            </w:p>
                          </w:txbxContent>
                        </wps:txbx>
                        <wps:bodyPr wrap="square" lIns="50800" tIns="50800" rIns="50800" bIns="50800" numCol="1" anchor="ctr">
                          <a:noAutofit/>
                        </wps:bodyPr>
                      </wps:wsp>
                      <wps:wsp>
                        <wps:cNvPr id="1073741833" name="Shape 1073741833"/>
                        <wps:cNvSpPr/>
                        <wps:spPr>
                          <a:xfrm>
                            <a:off x="2389410" y="819265"/>
                            <a:ext cx="1713053" cy="1713052"/>
                          </a:xfrm>
                          <a:prstGeom prst="ellipse">
                            <a:avLst/>
                          </a:prstGeom>
                          <a:solidFill>
                            <a:srgbClr val="A6AAA9"/>
                          </a:solidFill>
                          <a:ln w="12700" cap="flat">
                            <a:noFill/>
                            <a:miter lim="400000"/>
                          </a:ln>
                          <a:effectLst>
                            <a:outerShdw blurRad="38100" dist="25400" dir="5400000" rotWithShape="0">
                              <a:srgbClr val="000000">
                                <a:alpha val="50000"/>
                              </a:srgbClr>
                            </a:outerShdw>
                          </a:effectLst>
                        </wps:spPr>
                        <wps:txbx>
                          <w:txbxContent>
                            <w:p w14:paraId="74FFC219" w14:textId="77777777" w:rsidR="00001607" w:rsidRPr="00F027FA" w:rsidRDefault="00001607">
                              <w:pPr>
                                <w:pStyle w:val="tiquette"/>
                                <w:keepLines/>
                                <w:tabs>
                                  <w:tab w:val="left" w:pos="920"/>
                                  <w:tab w:val="left" w:pos="1840"/>
                                </w:tabs>
                                <w:rPr>
                                  <w:b/>
                                  <w:bCs/>
                                  <w:sz w:val="28"/>
                                  <w:szCs w:val="28"/>
                                </w:rPr>
                              </w:pPr>
                              <w:r w:rsidRPr="00F027FA">
                                <w:rPr>
                                  <w:b/>
                                  <w:bCs/>
                                  <w:sz w:val="28"/>
                                  <w:szCs w:val="28"/>
                                </w:rPr>
                                <w:t>Interm</w:t>
                              </w:r>
                            </w:p>
                            <w:p w14:paraId="12C61C84" w14:textId="77777777" w:rsidR="00001607" w:rsidRPr="00F027FA" w:rsidRDefault="00001607">
                              <w:pPr>
                                <w:pStyle w:val="tiquette"/>
                                <w:keepLines/>
                                <w:tabs>
                                  <w:tab w:val="left" w:pos="920"/>
                                  <w:tab w:val="left" w:pos="1840"/>
                                </w:tabs>
                                <w:rPr>
                                  <w:sz w:val="28"/>
                                  <w:szCs w:val="28"/>
                                </w:rPr>
                              </w:pPr>
                              <w:r w:rsidRPr="00F027FA">
                                <w:rPr>
                                  <w:b/>
                                  <w:bCs/>
                                  <w:sz w:val="28"/>
                                  <w:szCs w:val="28"/>
                                </w:rPr>
                                <w:t>&gt;1/1000 et &lt; 1/20</w:t>
                              </w:r>
                            </w:p>
                          </w:txbxContent>
                        </wps:txbx>
                        <wps:bodyPr wrap="square" lIns="50800" tIns="50800" rIns="50800" bIns="50800" numCol="1" anchor="ctr">
                          <a:noAutofit/>
                        </wps:bodyPr>
                      </wps:wsp>
                      <wps:wsp>
                        <wps:cNvPr id="1073741834" name="Shape 1073741834"/>
                        <wps:cNvSpPr/>
                        <wps:spPr>
                          <a:xfrm>
                            <a:off x="1196358" y="51252"/>
                            <a:ext cx="1713054" cy="1713054"/>
                          </a:xfrm>
                          <a:prstGeom prst="ellipse">
                            <a:avLst/>
                          </a:prstGeom>
                          <a:solidFill>
                            <a:srgbClr val="A6AAA9"/>
                          </a:solidFill>
                          <a:ln w="12700" cap="flat">
                            <a:noFill/>
                            <a:miter lim="400000"/>
                          </a:ln>
                          <a:effectLst>
                            <a:outerShdw blurRad="38100" dist="25400" dir="5400000" rotWithShape="0">
                              <a:srgbClr val="000000">
                                <a:alpha val="50000"/>
                              </a:srgbClr>
                            </a:outerShdw>
                          </a:effectLst>
                        </wps:spPr>
                        <wps:txbx>
                          <w:txbxContent>
                            <w:p w14:paraId="2C9D760C" w14:textId="77777777" w:rsidR="00001607" w:rsidRPr="00F027FA" w:rsidRDefault="00001607">
                              <w:pPr>
                                <w:pStyle w:val="tiquette"/>
                                <w:keepLines/>
                                <w:tabs>
                                  <w:tab w:val="left" w:pos="920"/>
                                  <w:tab w:val="left" w:pos="1840"/>
                                </w:tabs>
                                <w:rPr>
                                  <w:b/>
                                  <w:bCs/>
                                  <w:sz w:val="28"/>
                                  <w:szCs w:val="28"/>
                                </w:rPr>
                              </w:pPr>
                              <w:r w:rsidRPr="00F027FA">
                                <w:rPr>
                                  <w:b/>
                                  <w:bCs/>
                                  <w:sz w:val="28"/>
                                  <w:szCs w:val="28"/>
                                </w:rPr>
                                <w:t>Rares</w:t>
                              </w:r>
                            </w:p>
                            <w:p w14:paraId="2FC67E0E" w14:textId="77777777" w:rsidR="00001607" w:rsidRPr="00F027FA" w:rsidRDefault="00001607">
                              <w:pPr>
                                <w:pStyle w:val="tiquette"/>
                                <w:keepLines/>
                                <w:tabs>
                                  <w:tab w:val="left" w:pos="920"/>
                                  <w:tab w:val="left" w:pos="1840"/>
                                </w:tabs>
                                <w:rPr>
                                  <w:sz w:val="28"/>
                                  <w:szCs w:val="28"/>
                                </w:rPr>
                              </w:pPr>
                              <w:r w:rsidRPr="00F027FA">
                                <w:rPr>
                                  <w:b/>
                                  <w:bCs/>
                                  <w:sz w:val="28"/>
                                  <w:szCs w:val="28"/>
                                </w:rPr>
                                <w:t>&lt; 1/1000</w:t>
                              </w:r>
                            </w:p>
                          </w:txbxContent>
                        </wps:txbx>
                        <wps:bodyPr wrap="square" lIns="50800" tIns="50800" rIns="50800" bIns="50800" numCol="1" anchor="ctr">
                          <a:noAutofit/>
                        </wps:bodyPr>
                      </wps:wsp>
                      <wps:wsp>
                        <wps:cNvPr id="1073741835" name="Shape 1073741835"/>
                        <wps:cNvSpPr/>
                        <wps:spPr>
                          <a:xfrm>
                            <a:off x="2052885" y="3817403"/>
                            <a:ext cx="3038417" cy="360260"/>
                          </a:xfrm>
                          <a:prstGeom prst="rect">
                            <a:avLst/>
                          </a:prstGeom>
                          <a:noFill/>
                          <a:ln w="12700" cap="flat">
                            <a:noFill/>
                            <a:miter lim="400000"/>
                          </a:ln>
                          <a:effectLst/>
                        </wps:spPr>
                        <wps:txbx>
                          <w:txbxContent>
                            <w:p w14:paraId="36CB14E2" w14:textId="77777777" w:rsidR="00001607" w:rsidRDefault="00001607">
                              <w:pPr>
                                <w:pStyle w:val="Caption"/>
                                <w:tabs>
                                  <w:tab w:val="left" w:pos="920"/>
                                  <w:tab w:val="left" w:pos="1840"/>
                                  <w:tab w:val="left" w:pos="2760"/>
                                  <w:tab w:val="left" w:pos="3680"/>
                                  <w:tab w:val="left" w:pos="4600"/>
                                </w:tabs>
                              </w:pPr>
                              <w:r>
                                <w:rPr>
                                  <w:sz w:val="28"/>
                                  <w:szCs w:val="28"/>
                                </w:rPr>
                                <w:t>Fréquence de l’allèle</w:t>
                              </w:r>
                            </w:p>
                          </w:txbxContent>
                        </wps:txbx>
                        <wps:bodyPr wrap="square" lIns="50800" tIns="50800" rIns="50800" bIns="50800" numCol="1" anchor="ctr">
                          <a:noAutofit/>
                        </wps:bodyPr>
                      </wps:wsp>
                      <wps:wsp>
                        <wps:cNvPr id="1073741836" name="Shape 1073741836"/>
                        <wps:cNvSpPr/>
                        <wps:spPr>
                          <a:xfrm rot="16200000">
                            <a:off x="-733643" y="1380944"/>
                            <a:ext cx="2636611" cy="345000"/>
                          </a:xfrm>
                          <a:prstGeom prst="rect">
                            <a:avLst/>
                          </a:prstGeom>
                          <a:noFill/>
                          <a:ln w="12700" cap="flat">
                            <a:noFill/>
                            <a:miter lim="400000"/>
                          </a:ln>
                          <a:effectLst/>
                        </wps:spPr>
                        <wps:txbx>
                          <w:txbxContent>
                            <w:p w14:paraId="48F4A4F3" w14:textId="77777777" w:rsidR="00001607" w:rsidRDefault="00001607">
                              <w:pPr>
                                <w:pStyle w:val="Caption"/>
                                <w:tabs>
                                  <w:tab w:val="left" w:pos="920"/>
                                  <w:tab w:val="left" w:pos="1840"/>
                                  <w:tab w:val="left" w:pos="2760"/>
                                  <w:tab w:val="left" w:pos="3680"/>
                                </w:tabs>
                              </w:pPr>
                              <w:r>
                                <w:rPr>
                                  <w:sz w:val="28"/>
                                  <w:szCs w:val="28"/>
                                </w:rPr>
                                <w:t>Amplitude de l’effet</w:t>
                              </w:r>
                            </w:p>
                          </w:txbxContent>
                        </wps:txbx>
                        <wps:bodyPr wrap="square" lIns="50800" tIns="50800" rIns="50800" bIns="50800" numCol="1" anchor="ctr">
                          <a:noAutofit/>
                        </wps:bodyPr>
                      </wps:wsp>
                      <wps:wsp>
                        <wps:cNvPr id="1073741837" name="Shape 1073741837"/>
                        <wps:cNvSpPr/>
                        <wps:spPr>
                          <a:xfrm>
                            <a:off x="0" y="4699563"/>
                            <a:ext cx="6120057" cy="428236"/>
                          </a:xfrm>
                          <a:prstGeom prst="rect">
                            <a:avLst/>
                          </a:prstGeom>
                          <a:noFill/>
                          <a:ln w="12700" cap="flat">
                            <a:noFill/>
                            <a:miter lim="400000"/>
                          </a:ln>
                          <a:effectLst/>
                        </wps:spPr>
                        <wps:txbx>
                          <w:txbxContent>
                            <w:p w14:paraId="0AC524C4" w14:textId="0B7136D3" w:rsidR="00001607" w:rsidRDefault="00001607">
                              <w:pPr>
                                <w:pStyle w:val="Corps"/>
                              </w:pPr>
                              <w:r>
                                <w:rPr>
                                  <w:sz w:val="20"/>
                                  <w:szCs w:val="20"/>
                                  <w:lang w:val="nl-NL"/>
                                </w:rPr>
                                <w:t>Figure</w:t>
                              </w:r>
                              <w:r>
                                <w:rPr>
                                  <w:sz w:val="20"/>
                                  <w:szCs w:val="20"/>
                                </w:rPr>
                                <w:t xml:space="preserve"> 1 - C</w:t>
                              </w:r>
                              <w:r>
                                <w:rPr>
                                  <w:sz w:val="20"/>
                                  <w:szCs w:val="20"/>
                                  <w:lang w:val="nl-NL"/>
                                </w:rPr>
                                <w:t>lassification des allèles en génétique selon leur fréquence et leur effet (adapté des Refs 5 et 6).</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margin-left:74.7pt;margin-top:11.7pt;width:423.05pt;height:369pt;z-index:251660288;mso-wrap-distance-left:12pt;mso-wrap-distance-top:12pt;mso-wrap-distance-right:12pt;mso-wrap-distance-bottom:12pt;mso-position-horizontal-relative:page;mso-position-vertical-relative:page;mso-width-relative:margin;mso-height-relative:margin" coordsize="61200,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">
                <v:line id="Shape 1073741828" o:spid="_x0000_s1030" style="position:absolute;flip:y;visibility:visible;mso-wrap-style:square" from="7571,0" to="7571,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5QJnmMsAAADjAAAADwAA&#10;AAAAAAAAAAAAAAChAgAAZHJzL2Rvd25yZXYueG1sUEsFBgAAAAAEAAQA+QAAAJkDAAAAAA==&#10;" strokeweight="2pt">
                  <v:stroke endarrow="block" miterlimit="4" joinstyle="miter"/>
                </v:line>
                <v:line id="Shape 1073741829" o:spid="_x0000_s1031" style="position:absolute;visibility:visible;mso-wrap-style:square" from="7571,38544" to="61200,3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jPO8gAAADjAAAADwAAAGRycy9kb3ducmV2LnhtbERPS08CMRC+m/AfmjHxJl0QBVYKURMj&#10;xhjD6z7ZDtvCdrppK6z/3pKYeJzvPbNF5xpxohCtZwWDfgGCuPLacq1gu3m9nYCICVlj45kU/FCE&#10;xbx3NcNS+zOv6LROtcghHEtUYFJqSyljZchh7PuWOHN7HxymfIZa6oDnHO4aOSyKB+nQcm4w2NKL&#10;oeq4/nYKVtX07dlqbT4O4f1wv/vc29H2S6mb6+7pEUSiLv2L/9xLnecX47vxaDAZTuHyUwZ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MjPO8gAAADjAAAADwAAAAAA&#10;AAAAAAAAAAChAgAAZHJzL2Rvd25yZXYueG1sUEsFBgAAAAAEAAQA+QAAAJYDAAAAAA==&#10;" strokeweight="2pt">
                  <v:stroke endarrow="block" miterlimit="4" joinstyle="miter"/>
                </v:line>
                <v:shape id="Shape 1073741830" o:spid="_x0000_s1032" style="position:absolute;left:7571;top:41776;width:53629;height:323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5HMwA&#10;AADjAAAADwAAAGRycy9kb3ducmV2LnhtbESPT0/DMAzF70h8h8hIXBBLxtD+lGUTQiChndgY2tVq&#10;vKascaomdOXb4wPSjraf33u/5XoIjeqpS3VkC+ORAUVcRldzZWH/+XY/B5UyssMmMln4pQTr1fXV&#10;EgsXz7ylfpcrJSacCrTgc24LrVPpKWAaxZZYbsfYBcwydpV2HZ7FPDT6wZipDlizJHhs6cVTedr9&#10;BAvHKb1u4t12UeLmu/86eBP2Hydrb2+G5ydQmYZ8Ef9/vzupb2aT2eN4PhEKYZIF6NU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595HMwAAADjAAAADwAAAAAAAAAAAAAAAACY&#10;AgAAZHJzL2Rvd25yZXYueG1sUEsFBgAAAAAEAAQA9QAAAJEDAAAAAA==&#10;" path="m21600,21600l21600,,,,21600,21600xe" fillcolor="#a6aaa9" stroked="f" strokeweight="1pt">
                  <v:stroke miterlimit="4" joinstyle="miter"/>
                  <v:shadow on="t" color="black" opacity=".5" origin=",.5" offset="0"/>
                  <v:path arrowok="t" o:extrusionok="f" o:connecttype="custom" o:connectlocs="2681447,161610;2681447,161610;2681447,161610;2681447,161610" o:connectangles="0,90,180,270"/>
                </v:shape>
                <v:shape id="Shape 1073741831" o:spid="_x0000_s1033" style="position:absolute;top:234;width:3179;height:386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ch8gA&#10;AADjAAAADwAAAGRycy9kb3ducmV2LnhtbERPS0sDMRC+C/6HMAUv0iZrpY9t0yKiID3ZF70Om+lm&#10;281k2cTt+u+NIHic7z3Lde9q0VEbKs8aspECQVx4U3Gp4bB/H85AhIhssPZMGr4pwHp1f7fE3Pgb&#10;b6nbxVKkEA45arAxNrmUobDkMIx8Q5y4s28dxnS2pTQt3lK4q+WTUhPpsOLUYLGhV0vFdfflNJwn&#10;9Lbxj9t5gZtLdzxZ5Q6fV60fBv3LAkSkPv6L/9wfJs1X0/H0OZuNM/j9KQE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09yHyAAAAOMAAAAPAAAAAAAAAAAAAAAAAJgCAABk&#10;cnMvZG93bnJldi54bWxQSwUGAAAAAAQABAD1AAAAjQMAAAAA&#10;" path="m21600,21600l21600,,,,21600,21600xe" fillcolor="#a6aaa9" stroked="f" strokeweight="1pt">
                  <v:stroke miterlimit="4" joinstyle="miter"/>
                  <v:shadow on="t" color="black" opacity=".5" origin=",.5" offset="0"/>
                  <v:path arrowok="t" o:extrusionok="f" o:connecttype="custom" o:connectlocs="158983,1932610;158983,1932610;158983,1932610;158983,1932610" o:connectangles="0,90,180,270"/>
                </v:shape>
                <v:oval id="Shape 1073741832" o:spid="_x0000_s1034" style="position:absolute;left:35881;top:16574;width:17131;height:17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EpcYA&#10;AADjAAAADwAAAGRycy9kb3ducmV2LnhtbERPzU7CQBC+m/AOmyHxYmQKGCCVhViN0avAxdtkd2wb&#10;urOlu5by9i4Jicf5/me9HVyjeu5C7UXDdJKBYjHe1lJqOOzfH1egQiSx1HhhDRcOsN2M7taUW3+W&#10;L+53sVQpREJOGqoY2xwxmIodhYlvWRL34ztHMZ1dibajcwp3Dc6ybIGOakkNFbX8WrE57n6dhuLS&#10;lgWaB/roTXw7fQcsigVqfT8eXp5BRR7iv/jm/rRpfracL5+mq/kMrj8lAHD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JEpcYAAADjAAAADwAAAAAAAAAAAAAAAACYAgAAZHJz&#10;L2Rvd25yZXYueG1sUEsFBgAAAAAEAAQA9QAAAIsDAAAAAA==&#10;" fillcolor="#a6aaa9" stroked="f" strokeweight="1pt">
                  <v:stroke miterlimit="4" joinstyle="miter"/>
                  <v:shadow on="t" color="black" opacity=".5" origin=",.5" offset="0"/>
                  <v:textbox inset="4pt,4pt,4pt,4pt">
                    <w:txbxContent>
                      <w:p w14:paraId="19BE872A" w14:textId="77777777" w:rsidR="00001607" w:rsidRPr="00F027FA" w:rsidRDefault="00001607">
                        <w:pPr>
                          <w:pStyle w:val="tiquette"/>
                          <w:keepLines/>
                          <w:tabs>
                            <w:tab w:val="left" w:pos="920"/>
                            <w:tab w:val="left" w:pos="1840"/>
                          </w:tabs>
                          <w:rPr>
                            <w:b/>
                            <w:bCs/>
                            <w:sz w:val="28"/>
                            <w:szCs w:val="28"/>
                          </w:rPr>
                        </w:pPr>
                        <w:r w:rsidRPr="00F027FA">
                          <w:rPr>
                            <w:b/>
                            <w:bCs/>
                            <w:sz w:val="28"/>
                            <w:szCs w:val="28"/>
                          </w:rPr>
                          <w:t>Communs</w:t>
                        </w:r>
                      </w:p>
                      <w:p w14:paraId="3D5415A6" w14:textId="77777777" w:rsidR="00001607" w:rsidRPr="00F027FA" w:rsidRDefault="00001607">
                        <w:pPr>
                          <w:pStyle w:val="tiquette"/>
                          <w:keepLines/>
                          <w:tabs>
                            <w:tab w:val="left" w:pos="920"/>
                            <w:tab w:val="left" w:pos="1840"/>
                          </w:tabs>
                          <w:rPr>
                            <w:sz w:val="28"/>
                            <w:szCs w:val="28"/>
                          </w:rPr>
                        </w:pPr>
                        <w:r w:rsidRPr="00F027FA">
                          <w:rPr>
                            <w:b/>
                            <w:bCs/>
                            <w:sz w:val="28"/>
                            <w:szCs w:val="28"/>
                          </w:rPr>
                          <w:t>&gt; 1/20</w:t>
                        </w:r>
                      </w:p>
                    </w:txbxContent>
                  </v:textbox>
                </v:oval>
                <v:oval id="Shape 1073741833" o:spid="_x0000_s1035" style="position:absolute;left:23894;top:8192;width:17130;height:17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hPsYA&#10;AADjAAAADwAAAGRycy9kb3ducmV2LnhtbERPzU7CQBC+m/AOmyHxYmSKNUAqC7Eao1fAC7fJ7tA2&#10;dmdrdy3l7V0TE47z/c96O7pWDdyHxouG+SwDxWK8baTS8Hl4u1+BCpHEUuuFNVw4wHYzuVlTYf1Z&#10;djzsY6VSiISCNNQxdgViMDU7CjPfsSTu5HtHMZ19hbancwp3LT5k2QIdNZIaaur4pWbztf9xGspL&#10;V5Vo7uh9MPH1+xiwLBeo9e10fH4CFXmMV/G/+8Om+dkyXz7OV3kOfz8lAHD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hPsYAAADjAAAADwAAAAAAAAAAAAAAAACYAgAAZHJz&#10;L2Rvd25yZXYueG1sUEsFBgAAAAAEAAQA9QAAAIsDAAAAAA==&#10;" fillcolor="#a6aaa9" stroked="f" strokeweight="1pt">
                  <v:stroke miterlimit="4" joinstyle="miter"/>
                  <v:shadow on="t" color="black" opacity=".5" origin=",.5" offset="0"/>
                  <v:textbox inset="4pt,4pt,4pt,4pt">
                    <w:txbxContent>
                      <w:p w14:paraId="74FFC219" w14:textId="77777777" w:rsidR="00001607" w:rsidRPr="00F027FA" w:rsidRDefault="00001607">
                        <w:pPr>
                          <w:pStyle w:val="tiquette"/>
                          <w:keepLines/>
                          <w:tabs>
                            <w:tab w:val="left" w:pos="920"/>
                            <w:tab w:val="left" w:pos="1840"/>
                          </w:tabs>
                          <w:rPr>
                            <w:b/>
                            <w:bCs/>
                            <w:sz w:val="28"/>
                            <w:szCs w:val="28"/>
                          </w:rPr>
                        </w:pPr>
                        <w:r w:rsidRPr="00F027FA">
                          <w:rPr>
                            <w:b/>
                            <w:bCs/>
                            <w:sz w:val="28"/>
                            <w:szCs w:val="28"/>
                          </w:rPr>
                          <w:t>Interm</w:t>
                        </w:r>
                      </w:p>
                      <w:p w14:paraId="12C61C84" w14:textId="77777777" w:rsidR="00001607" w:rsidRPr="00F027FA" w:rsidRDefault="00001607">
                        <w:pPr>
                          <w:pStyle w:val="tiquette"/>
                          <w:keepLines/>
                          <w:tabs>
                            <w:tab w:val="left" w:pos="920"/>
                            <w:tab w:val="left" w:pos="1840"/>
                          </w:tabs>
                          <w:rPr>
                            <w:sz w:val="28"/>
                            <w:szCs w:val="28"/>
                          </w:rPr>
                        </w:pPr>
                        <w:r w:rsidRPr="00F027FA">
                          <w:rPr>
                            <w:b/>
                            <w:bCs/>
                            <w:sz w:val="28"/>
                            <w:szCs w:val="28"/>
                          </w:rPr>
                          <w:t>&gt;1/1000 et &lt; 1/20</w:t>
                        </w:r>
                      </w:p>
                    </w:txbxContent>
                  </v:textbox>
                </v:oval>
                <v:oval id="Shape 1073741834" o:spid="_x0000_s1036" style="position:absolute;left:11963;top:512;width:17131;height:17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5SsYA&#10;AADjAAAADwAAAGRycy9kb3ducmV2LnhtbERPzU7CQBC+m/gOmzHhYmSKECCVhVgJwSvoxdtkd2wb&#10;u7O1u5by9iyJCcf5/me1GVyjeu5C7UXDZJyBYjHe1lJq+PzYPS1BhUhiqfHCGs4cYLO+v1tRbv1J&#10;DtwfY6lSiIScNFQxtjliMBU7CmPfsiTu23eOYjq7Em1HpxTuGnzOsjk6qiU1VNTyW8Xm5/jnNBTn&#10;tizQPNK+N3H7+xWwKOao9ehheH0BFXmIN/G/+92m+dliuphNltMZXH9KAOD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d5SsYAAADjAAAADwAAAAAAAAAAAAAAAACYAgAAZHJz&#10;L2Rvd25yZXYueG1sUEsFBgAAAAAEAAQA9QAAAIsDAAAAAA==&#10;" fillcolor="#a6aaa9" stroked="f" strokeweight="1pt">
                  <v:stroke miterlimit="4" joinstyle="miter"/>
                  <v:shadow on="t" color="black" opacity=".5" origin=",.5" offset="0"/>
                  <v:textbox inset="4pt,4pt,4pt,4pt">
                    <w:txbxContent>
                      <w:p w14:paraId="2C9D760C" w14:textId="77777777" w:rsidR="00001607" w:rsidRPr="00F027FA" w:rsidRDefault="00001607">
                        <w:pPr>
                          <w:pStyle w:val="tiquette"/>
                          <w:keepLines/>
                          <w:tabs>
                            <w:tab w:val="left" w:pos="920"/>
                            <w:tab w:val="left" w:pos="1840"/>
                          </w:tabs>
                          <w:rPr>
                            <w:b/>
                            <w:bCs/>
                            <w:sz w:val="28"/>
                            <w:szCs w:val="28"/>
                          </w:rPr>
                        </w:pPr>
                        <w:r w:rsidRPr="00F027FA">
                          <w:rPr>
                            <w:b/>
                            <w:bCs/>
                            <w:sz w:val="28"/>
                            <w:szCs w:val="28"/>
                          </w:rPr>
                          <w:t>Rares</w:t>
                        </w:r>
                      </w:p>
                      <w:p w14:paraId="2FC67E0E" w14:textId="77777777" w:rsidR="00001607" w:rsidRPr="00F027FA" w:rsidRDefault="00001607">
                        <w:pPr>
                          <w:pStyle w:val="tiquette"/>
                          <w:keepLines/>
                          <w:tabs>
                            <w:tab w:val="left" w:pos="920"/>
                            <w:tab w:val="left" w:pos="1840"/>
                          </w:tabs>
                          <w:rPr>
                            <w:sz w:val="28"/>
                            <w:szCs w:val="28"/>
                          </w:rPr>
                        </w:pPr>
                        <w:r w:rsidRPr="00F027FA">
                          <w:rPr>
                            <w:b/>
                            <w:bCs/>
                            <w:sz w:val="28"/>
                            <w:szCs w:val="28"/>
                          </w:rPr>
                          <w:t>&lt; 1/1000</w:t>
                        </w:r>
                      </w:p>
                    </w:txbxContent>
                  </v:textbox>
                </v:oval>
                <v:rect id="Shape 1073741835" o:spid="_x0000_s1037" style="position:absolute;left:20528;top:38174;width:30385;height: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DqsYA&#10;AADjAAAADwAAAGRycy9kb3ducmV2LnhtbERPzWoCMRC+F/oOYQreamK1KlujiKAI7aW29DzdzG6W&#10;JpN1E3V9+6ZQ8Djf/yxWvXfiTF1sAmsYDRUI4jKYhmsNnx/bxzmImJANusCk4UoRVsv7uwUWJlz4&#10;nc6HVIscwrFADTaltpAylpY8xmFoiTNXhc5jymdXS9PhJYd7J5+UmkqPDecGiy1tLJU/h5PX4Lat&#10;UvR9fH1ztZtaWX2td5XXevDQr19AJOrTTfzv3ps8X83Gs8loPn6Gv58yA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WDqsYAAADjAAAADwAAAAAAAAAAAAAAAACYAgAAZHJz&#10;L2Rvd25yZXYueG1sUEsFBgAAAAAEAAQA9QAAAIsDAAAAAA==&#10;" filled="f" stroked="f" strokeweight="1pt">
                  <v:stroke miterlimit="4"/>
                  <v:textbox inset="4pt,4pt,4pt,4pt">
                    <w:txbxContent>
                      <w:p w14:paraId="36CB14E2" w14:textId="77777777" w:rsidR="00001607" w:rsidRDefault="00001607">
                        <w:pPr>
                          <w:pStyle w:val="Caption"/>
                          <w:tabs>
                            <w:tab w:val="left" w:pos="920"/>
                            <w:tab w:val="left" w:pos="1840"/>
                            <w:tab w:val="left" w:pos="2760"/>
                            <w:tab w:val="left" w:pos="3680"/>
                            <w:tab w:val="left" w:pos="4600"/>
                          </w:tabs>
                        </w:pPr>
                        <w:r>
                          <w:rPr>
                            <w:sz w:val="28"/>
                            <w:szCs w:val="28"/>
                          </w:rPr>
                          <w:t>Fréquence de l’allèle</w:t>
                        </w:r>
                      </w:p>
                    </w:txbxContent>
                  </v:textbox>
                </v:rect>
                <v:rect id="Shape 1073741836" o:spid="_x0000_s1038" style="position:absolute;left:-7337;top:13809;width:26366;height:34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FiMkA&#10;AADjAAAADwAAAGRycy9kb3ducmV2LnhtbERPX2vCMBB/F/Ydwg32IjN1ikpnFFvcGPggurHno7m1&#10;xeZSkmi7fXojDHy83/9brnvTiAs5X1tWMB4lIIgLq2suFXx9vj0vQPiArLGxTAp+ycN69TBYYqpt&#10;xwe6HEMpYgj7FBVUIbSplL6oyKAf2ZY4cj/WGQzxdKXUDrsYbhr5kiQzabDm2FBhS3lFxel4NgoO&#10;m2Z7crv82+yzvyzr2Ayn+btST4/95hVEoD7cxf/uDx3nJ/PJfDpeTGZw+ykCIF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HeFiMkAAADjAAAADwAAAAAAAAAAAAAAAACYAgAA&#10;ZHJzL2Rvd25yZXYueG1sUEsFBgAAAAAEAAQA9QAAAI4DAAAAAA==&#10;" filled="f" stroked="f" strokeweight="1pt">
                  <v:stroke miterlimit="4"/>
                  <v:textbox inset="4pt,4pt,4pt,4pt">
                    <w:txbxContent>
                      <w:p w14:paraId="48F4A4F3" w14:textId="77777777" w:rsidR="00001607" w:rsidRDefault="00001607">
                        <w:pPr>
                          <w:pStyle w:val="Caption"/>
                          <w:tabs>
                            <w:tab w:val="left" w:pos="920"/>
                            <w:tab w:val="left" w:pos="1840"/>
                            <w:tab w:val="left" w:pos="2760"/>
                            <w:tab w:val="left" w:pos="3680"/>
                          </w:tabs>
                        </w:pPr>
                        <w:r>
                          <w:rPr>
                            <w:sz w:val="28"/>
                            <w:szCs w:val="28"/>
                          </w:rPr>
                          <w:t>Amplitude de l’effet</w:t>
                        </w:r>
                      </w:p>
                    </w:txbxContent>
                  </v:textbox>
                </v:rect>
                <v:rect id="Shape 1073741837" o:spid="_x0000_s1039" style="position:absolute;top:46995;width:61200;height:4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f4sgA&#10;AADjAAAADwAAAGRycy9kb3ducmV2LnhtbERPzWrCQBC+F3yHZYReSt1YNZHoKiVV8GrsAwzZMYlm&#10;Z9PsqqlP7xYKHuf7n+W6N424UudqywrGowgEcWF1zaWC78P2fQ7CeWSNjWVS8EsO1qvByxJTbW+8&#10;p2vuSxFC2KWooPK+TaV0RUUG3ci2xIE72s6gD2dXSt3hLYSbRn5EUSwN1hwaKmwpq6g45xejYFdc&#10;Tl/32c+U47d7fN5k29kpa5R6HfafCxCeev8U/7t3OsyPkkkyHc8nCfz9FACQq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0B/iyAAAAOMAAAAPAAAAAAAAAAAAAAAAAJgCAABk&#10;cnMvZG93bnJldi54bWxQSwUGAAAAAAQABAD1AAAAjQMAAAAA&#10;" filled="f" stroked="f" strokeweight="1pt">
                  <v:stroke miterlimit="4"/>
                  <v:textbox inset="4pt,4pt,4pt,4pt">
                    <w:txbxContent>
                      <w:p w14:paraId="0AC524C4" w14:textId="0B7136D3" w:rsidR="00001607" w:rsidRDefault="00001607">
                        <w:pPr>
                          <w:pStyle w:val="Corps"/>
                        </w:pPr>
                        <w:r>
                          <w:rPr>
                            <w:sz w:val="20"/>
                            <w:szCs w:val="20"/>
                            <w:lang w:val="nl-NL"/>
                          </w:rPr>
                          <w:t>Figure</w:t>
                        </w:r>
                        <w:r>
                          <w:rPr>
                            <w:sz w:val="20"/>
                            <w:szCs w:val="20"/>
                          </w:rPr>
                          <w:t xml:space="preserve"> 1 - C</w:t>
                        </w:r>
                        <w:r>
                          <w:rPr>
                            <w:sz w:val="20"/>
                            <w:szCs w:val="20"/>
                            <w:lang w:val="nl-NL"/>
                          </w:rPr>
                          <w:t>lassification des allèles en génétique selon leur fréquence et leur effet (adapté des Refs 5 et 6).</w:t>
                        </w:r>
                      </w:p>
                    </w:txbxContent>
                  </v:textbox>
                </v:rect>
                <w10:wrap type="topAndBottom" anchorx="page" anchory="page"/>
              </v:group>
            </w:pict>
          </mc:Fallback>
        </mc:AlternateContent>
      </w:r>
    </w:p>
    <w:sectPr w:rsidR="00120ED2" w:rsidRPr="001861DD">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0E0A" w14:textId="77777777" w:rsidR="00881010" w:rsidRDefault="00881010">
      <w:r>
        <w:separator/>
      </w:r>
    </w:p>
  </w:endnote>
  <w:endnote w:type="continuationSeparator" w:id="0">
    <w:p w14:paraId="476369DD" w14:textId="77777777" w:rsidR="00881010" w:rsidRDefault="008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B744" w14:textId="1642A061" w:rsidR="00001607" w:rsidRDefault="00001607">
    <w:pPr>
      <w:pStyle w:val="Header"/>
      <w:tabs>
        <w:tab w:val="clear" w:pos="9020"/>
        <w:tab w:val="center" w:pos="4819"/>
        <w:tab w:val="right" w:pos="9638"/>
      </w:tabs>
    </w:pPr>
    <w:r>
      <w:t>A. Bondue</w:t>
    </w:r>
    <w:r>
      <w:tab/>
      <w:t>GRRYF</w:t>
    </w:r>
    <w:r>
      <w:tab/>
      <w:t>Décembre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73006" w14:textId="77777777" w:rsidR="00881010" w:rsidRDefault="00881010">
      <w:r>
        <w:separator/>
      </w:r>
    </w:p>
  </w:footnote>
  <w:footnote w:type="continuationSeparator" w:id="0">
    <w:p w14:paraId="5E039AE4" w14:textId="77777777" w:rsidR="00881010" w:rsidRDefault="008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222"/>
    <w:multiLevelType w:val="hybridMultilevel"/>
    <w:tmpl w:val="78528320"/>
    <w:styleLink w:val="Puce"/>
    <w:lvl w:ilvl="0" w:tplc="F1D415C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55C821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4AA109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4ED7A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5D27A1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264A43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0101F4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EB2281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03E2B4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31DF042F"/>
    <w:multiLevelType w:val="hybridMultilevel"/>
    <w:tmpl w:val="491870CE"/>
    <w:styleLink w:val="Tiret"/>
    <w:lvl w:ilvl="0" w:tplc="FEE06CB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6F6C44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38205E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A564EB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3AE652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D78560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4C6829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AFEB92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7161E0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nsid w:val="3DA51165"/>
    <w:multiLevelType w:val="hybridMultilevel"/>
    <w:tmpl w:val="491870CE"/>
    <w:numStyleLink w:val="Tiret"/>
  </w:abstractNum>
  <w:abstractNum w:abstractNumId="3">
    <w:nsid w:val="46CE210D"/>
    <w:multiLevelType w:val="hybridMultilevel"/>
    <w:tmpl w:val="78528320"/>
    <w:numStyleLink w:val="Puce"/>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0ED2"/>
    <w:rsid w:val="00001607"/>
    <w:rsid w:val="0009070B"/>
    <w:rsid w:val="000F6795"/>
    <w:rsid w:val="00120ED2"/>
    <w:rsid w:val="00153337"/>
    <w:rsid w:val="001861DD"/>
    <w:rsid w:val="001933D8"/>
    <w:rsid w:val="001F1AE7"/>
    <w:rsid w:val="002A3900"/>
    <w:rsid w:val="002E2D68"/>
    <w:rsid w:val="00320688"/>
    <w:rsid w:val="004470F5"/>
    <w:rsid w:val="005140DB"/>
    <w:rsid w:val="00600358"/>
    <w:rsid w:val="0062413C"/>
    <w:rsid w:val="006C5AC7"/>
    <w:rsid w:val="006D3280"/>
    <w:rsid w:val="00710942"/>
    <w:rsid w:val="00881010"/>
    <w:rsid w:val="00913925"/>
    <w:rsid w:val="00941D88"/>
    <w:rsid w:val="009C463D"/>
    <w:rsid w:val="00A23615"/>
    <w:rsid w:val="00AE107C"/>
    <w:rsid w:val="00AE4B77"/>
    <w:rsid w:val="00B970F2"/>
    <w:rsid w:val="00BF1F51"/>
    <w:rsid w:val="00C810C8"/>
    <w:rsid w:val="00C81DC0"/>
    <w:rsid w:val="00CA672E"/>
    <w:rsid w:val="00CD0CC5"/>
    <w:rsid w:val="00DD368E"/>
    <w:rsid w:val="00E56732"/>
    <w:rsid w:val="00EF4E9C"/>
    <w:rsid w:val="00F027FA"/>
    <w:rsid w:val="00F24EF8"/>
    <w:rsid w:val="00F65036"/>
    <w:rsid w:val="00F8777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w:hAnsi="Helvetica" w:cs="Arial Unicode MS"/>
      <w:color w:val="000000"/>
      <w:sz w:val="16"/>
      <w:szCs w:val="16"/>
      <w:lang w:val="nl-NL"/>
    </w:rPr>
  </w:style>
  <w:style w:type="paragraph" w:styleId="Title">
    <w:name w:val="Title"/>
    <w:next w:val="Corps"/>
    <w:pPr>
      <w:keepNext/>
    </w:pPr>
    <w:rPr>
      <w:rFonts w:ascii="Helvetica" w:hAnsi="Helvetica" w:cs="Arial Unicode MS"/>
      <w:b/>
      <w:bCs/>
      <w:color w:val="000000"/>
      <w:sz w:val="60"/>
      <w:szCs w:val="60"/>
    </w:rPr>
  </w:style>
  <w:style w:type="paragraph" w:customStyle="1" w:styleId="Corps">
    <w:name w:val="Corps"/>
    <w:rPr>
      <w:rFonts w:ascii="Helvetica" w:hAnsi="Helvetica" w:cs="Arial Unicode MS"/>
      <w:color w:val="000000"/>
      <w:sz w:val="22"/>
      <w:szCs w:val="22"/>
    </w:rPr>
  </w:style>
  <w:style w:type="paragraph" w:styleId="Subtitle">
    <w:name w:val="Subtitle"/>
    <w:next w:val="Corps"/>
    <w:pPr>
      <w:keepNext/>
    </w:pPr>
    <w:rPr>
      <w:rFonts w:ascii="Helvetica" w:hAnsi="Helvetica" w:cs="Arial Unicode MS"/>
      <w:b/>
      <w:bCs/>
      <w:color w:val="000000"/>
      <w:sz w:val="28"/>
      <w:szCs w:val="28"/>
      <w:u w:val="single"/>
      <w:lang w:val="nl-NL"/>
    </w:rPr>
  </w:style>
  <w:style w:type="paragraph" w:customStyle="1" w:styleId="Pardfaut">
    <w:name w:val="Par défaut"/>
    <w:pPr>
      <w:ind w:firstLine="708"/>
    </w:pPr>
    <w:rPr>
      <w:rFonts w:ascii="Cambria" w:eastAsia="Cambria" w:hAnsi="Cambria" w:cs="Cambria"/>
      <w:color w:val="000000"/>
      <w:sz w:val="24"/>
      <w:szCs w:val="24"/>
    </w:rPr>
  </w:style>
  <w:style w:type="numbering" w:customStyle="1" w:styleId="Tiret">
    <w:name w:val="Tiret"/>
    <w:pPr>
      <w:numPr>
        <w:numId w:val="1"/>
      </w:numPr>
    </w:pPr>
  </w:style>
  <w:style w:type="paragraph" w:customStyle="1" w:styleId="Sous-section2">
    <w:name w:val="Sous-section 2"/>
    <w:next w:val="Corps"/>
    <w:pPr>
      <w:keepNext/>
      <w:outlineLvl w:val="1"/>
    </w:pPr>
    <w:rPr>
      <w:rFonts w:ascii="Helvetica" w:hAnsi="Helvetica" w:cs="Arial Unicode MS"/>
      <w:color w:val="000000"/>
      <w:sz w:val="22"/>
      <w:szCs w:val="22"/>
      <w:lang w:val="nl-NL"/>
    </w:rPr>
  </w:style>
  <w:style w:type="numbering" w:customStyle="1" w:styleId="Puce">
    <w:name w:val="Puce"/>
    <w:pPr>
      <w:numPr>
        <w:numId w:val="3"/>
      </w:numPr>
    </w:pPr>
  </w:style>
  <w:style w:type="paragraph" w:customStyle="1" w:styleId="tiquette">
    <w:name w:val="Étiquette"/>
    <w:pPr>
      <w:jc w:val="center"/>
    </w:pPr>
    <w:rPr>
      <w:rFonts w:ascii="Helvetica" w:hAnsi="Helvetica" w:cs="Arial Unicode MS"/>
      <w:color w:val="FEFEFE"/>
      <w:sz w:val="24"/>
      <w:szCs w:val="24"/>
      <w:lang w:val="nl-NL"/>
      <w14:shadow w14:blurRad="50800" w14:dist="35991" w14:dir="2700000" w14:sx="100000" w14:sy="100000" w14:kx="0" w14:ky="0" w14:algn="tl">
        <w14:srgbClr w14:val="000000">
          <w14:alpha w14:val="68965"/>
        </w14:srgbClr>
      </w14:shadow>
    </w:rPr>
  </w:style>
  <w:style w:type="paragraph" w:styleId="Caption">
    <w:name w:val="caption"/>
    <w:pPr>
      <w:keepLines/>
      <w:jc w:val="center"/>
    </w:pPr>
    <w:rPr>
      <w:rFonts w:ascii="Helvetica" w:hAnsi="Helvetica" w:cs="Arial Unicode MS"/>
      <w:b/>
      <w:bCs/>
      <w:color w:val="000000"/>
      <w:sz w:val="36"/>
      <w:szCs w:val="36"/>
      <w:lang w:val="nl-NL"/>
    </w:rPr>
  </w:style>
  <w:style w:type="paragraph" w:styleId="BalloonText">
    <w:name w:val="Balloon Text"/>
    <w:basedOn w:val="Normal"/>
    <w:link w:val="BalloonTextChar"/>
    <w:uiPriority w:val="99"/>
    <w:semiHidden/>
    <w:unhideWhenUsed/>
    <w:rsid w:val="00624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13C"/>
    <w:rPr>
      <w:rFonts w:ascii="Lucida Grande" w:hAnsi="Lucida Grande" w:cs="Lucida Grande"/>
      <w:sz w:val="18"/>
      <w:szCs w:val="18"/>
      <w:lang w:val="en-US" w:eastAsia="en-US"/>
    </w:rPr>
  </w:style>
  <w:style w:type="paragraph" w:styleId="Footer">
    <w:name w:val="footer"/>
    <w:basedOn w:val="Normal"/>
    <w:link w:val="FooterChar"/>
    <w:uiPriority w:val="99"/>
    <w:unhideWhenUsed/>
    <w:rsid w:val="00F027FA"/>
    <w:pPr>
      <w:tabs>
        <w:tab w:val="center" w:pos="4536"/>
        <w:tab w:val="right" w:pos="9072"/>
      </w:tabs>
    </w:pPr>
  </w:style>
  <w:style w:type="character" w:customStyle="1" w:styleId="FooterChar">
    <w:name w:val="Footer Char"/>
    <w:basedOn w:val="DefaultParagraphFont"/>
    <w:link w:val="Footer"/>
    <w:uiPriority w:val="99"/>
    <w:rsid w:val="00F027F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w:hAnsi="Helvetica" w:cs="Arial Unicode MS"/>
      <w:color w:val="000000"/>
      <w:sz w:val="16"/>
      <w:szCs w:val="16"/>
      <w:lang w:val="nl-NL"/>
    </w:rPr>
  </w:style>
  <w:style w:type="paragraph" w:styleId="Title">
    <w:name w:val="Title"/>
    <w:next w:val="Corps"/>
    <w:pPr>
      <w:keepNext/>
    </w:pPr>
    <w:rPr>
      <w:rFonts w:ascii="Helvetica" w:hAnsi="Helvetica" w:cs="Arial Unicode MS"/>
      <w:b/>
      <w:bCs/>
      <w:color w:val="000000"/>
      <w:sz w:val="60"/>
      <w:szCs w:val="60"/>
    </w:rPr>
  </w:style>
  <w:style w:type="paragraph" w:customStyle="1" w:styleId="Corps">
    <w:name w:val="Corps"/>
    <w:rPr>
      <w:rFonts w:ascii="Helvetica" w:hAnsi="Helvetica" w:cs="Arial Unicode MS"/>
      <w:color w:val="000000"/>
      <w:sz w:val="22"/>
      <w:szCs w:val="22"/>
    </w:rPr>
  </w:style>
  <w:style w:type="paragraph" w:styleId="Subtitle">
    <w:name w:val="Subtitle"/>
    <w:next w:val="Corps"/>
    <w:pPr>
      <w:keepNext/>
    </w:pPr>
    <w:rPr>
      <w:rFonts w:ascii="Helvetica" w:hAnsi="Helvetica" w:cs="Arial Unicode MS"/>
      <w:b/>
      <w:bCs/>
      <w:color w:val="000000"/>
      <w:sz w:val="28"/>
      <w:szCs w:val="28"/>
      <w:u w:val="single"/>
      <w:lang w:val="nl-NL"/>
    </w:rPr>
  </w:style>
  <w:style w:type="paragraph" w:customStyle="1" w:styleId="Pardfaut">
    <w:name w:val="Par défaut"/>
    <w:pPr>
      <w:ind w:firstLine="708"/>
    </w:pPr>
    <w:rPr>
      <w:rFonts w:ascii="Cambria" w:eastAsia="Cambria" w:hAnsi="Cambria" w:cs="Cambria"/>
      <w:color w:val="000000"/>
      <w:sz w:val="24"/>
      <w:szCs w:val="24"/>
    </w:rPr>
  </w:style>
  <w:style w:type="numbering" w:customStyle="1" w:styleId="Tiret">
    <w:name w:val="Tiret"/>
    <w:pPr>
      <w:numPr>
        <w:numId w:val="1"/>
      </w:numPr>
    </w:pPr>
  </w:style>
  <w:style w:type="paragraph" w:customStyle="1" w:styleId="Sous-section2">
    <w:name w:val="Sous-section 2"/>
    <w:next w:val="Corps"/>
    <w:pPr>
      <w:keepNext/>
      <w:outlineLvl w:val="1"/>
    </w:pPr>
    <w:rPr>
      <w:rFonts w:ascii="Helvetica" w:hAnsi="Helvetica" w:cs="Arial Unicode MS"/>
      <w:color w:val="000000"/>
      <w:sz w:val="22"/>
      <w:szCs w:val="22"/>
      <w:lang w:val="nl-NL"/>
    </w:rPr>
  </w:style>
  <w:style w:type="numbering" w:customStyle="1" w:styleId="Puce">
    <w:name w:val="Puce"/>
    <w:pPr>
      <w:numPr>
        <w:numId w:val="3"/>
      </w:numPr>
    </w:pPr>
  </w:style>
  <w:style w:type="paragraph" w:customStyle="1" w:styleId="tiquette">
    <w:name w:val="Étiquette"/>
    <w:pPr>
      <w:jc w:val="center"/>
    </w:pPr>
    <w:rPr>
      <w:rFonts w:ascii="Helvetica" w:hAnsi="Helvetica" w:cs="Arial Unicode MS"/>
      <w:color w:val="FEFEFE"/>
      <w:sz w:val="24"/>
      <w:szCs w:val="24"/>
      <w:lang w:val="nl-NL"/>
      <w14:shadow w14:blurRad="50800" w14:dist="35991" w14:dir="2700000" w14:sx="100000" w14:sy="100000" w14:kx="0" w14:ky="0" w14:algn="tl">
        <w14:srgbClr w14:val="000000">
          <w14:alpha w14:val="68965"/>
        </w14:srgbClr>
      </w14:shadow>
    </w:rPr>
  </w:style>
  <w:style w:type="paragraph" w:styleId="Caption">
    <w:name w:val="caption"/>
    <w:pPr>
      <w:keepLines/>
      <w:jc w:val="center"/>
    </w:pPr>
    <w:rPr>
      <w:rFonts w:ascii="Helvetica" w:hAnsi="Helvetica" w:cs="Arial Unicode MS"/>
      <w:b/>
      <w:bCs/>
      <w:color w:val="000000"/>
      <w:sz w:val="36"/>
      <w:szCs w:val="36"/>
      <w:lang w:val="nl-NL"/>
    </w:rPr>
  </w:style>
  <w:style w:type="paragraph" w:styleId="BalloonText">
    <w:name w:val="Balloon Text"/>
    <w:basedOn w:val="Normal"/>
    <w:link w:val="BalloonTextChar"/>
    <w:uiPriority w:val="99"/>
    <w:semiHidden/>
    <w:unhideWhenUsed/>
    <w:rsid w:val="00624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13C"/>
    <w:rPr>
      <w:rFonts w:ascii="Lucida Grande" w:hAnsi="Lucida Grande" w:cs="Lucida Grande"/>
      <w:sz w:val="18"/>
      <w:szCs w:val="18"/>
      <w:lang w:val="en-US" w:eastAsia="en-US"/>
    </w:rPr>
  </w:style>
  <w:style w:type="paragraph" w:styleId="Footer">
    <w:name w:val="footer"/>
    <w:basedOn w:val="Normal"/>
    <w:link w:val="FooterChar"/>
    <w:uiPriority w:val="99"/>
    <w:unhideWhenUsed/>
    <w:rsid w:val="00F027FA"/>
    <w:pPr>
      <w:tabs>
        <w:tab w:val="center" w:pos="4536"/>
        <w:tab w:val="right" w:pos="9072"/>
      </w:tabs>
    </w:pPr>
  </w:style>
  <w:style w:type="character" w:customStyle="1" w:styleId="FooterChar">
    <w:name w:val="Footer Char"/>
    <w:basedOn w:val="DefaultParagraphFont"/>
    <w:link w:val="Footer"/>
    <w:uiPriority w:val="99"/>
    <w:rsid w:val="00F027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nolio%20TA%5BAuthor%5D&amp;cauthor=true&amp;cauthor_uid=198126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ubmed/?term=Srivastava%20D%5BAuthor%5D&amp;cauthor=true&amp;cauthor_uid=22424232" TargetMode="External"/><Relationship Id="rId4" Type="http://schemas.openxmlformats.org/officeDocument/2006/relationships/settings" Target="settings.xml"/><Relationship Id="rId9" Type="http://schemas.openxmlformats.org/officeDocument/2006/relationships/hyperlink" Target="https://www.ncbi.nlm.nih.gov/pubmed/?term=Kathiresan%20S%5BAuthor%5D&amp;cauthor=true&amp;cauthor_uid=2242423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6</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ULB</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Simonet</dc:creator>
  <cp:lastModifiedBy>Veronique Simonet</cp:lastModifiedBy>
  <cp:revision>4</cp:revision>
  <cp:lastPrinted>2016-11-19T07:43:00Z</cp:lastPrinted>
  <dcterms:created xsi:type="dcterms:W3CDTF">2016-11-20T19:08:00Z</dcterms:created>
  <dcterms:modified xsi:type="dcterms:W3CDTF">2016-11-21T21:30:00Z</dcterms:modified>
</cp:coreProperties>
</file>